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sz w:val="48"/>
          <w:szCs w:val="48"/>
          <w:highlight w:val="none"/>
        </w:rPr>
      </w:pPr>
    </w:p>
    <w:p>
      <w:pPr>
        <w:snapToGrid w:val="0"/>
        <w:spacing w:line="360" w:lineRule="auto"/>
        <w:jc w:val="center"/>
        <w:rPr>
          <w:rFonts w:hint="eastAsia" w:ascii="宋体" w:hAnsi="宋体" w:eastAsia="宋体" w:cs="宋体"/>
          <w:sz w:val="48"/>
          <w:szCs w:val="48"/>
          <w:highlight w:val="none"/>
        </w:rPr>
      </w:pPr>
    </w:p>
    <w:p>
      <w:pPr>
        <w:snapToGrid w:val="0"/>
        <w:spacing w:line="360" w:lineRule="auto"/>
        <w:jc w:val="center"/>
        <w:rPr>
          <w:rFonts w:hint="eastAsia" w:ascii="宋体" w:hAnsi="宋体" w:eastAsia="宋体" w:cs="宋体"/>
          <w:sz w:val="48"/>
          <w:szCs w:val="48"/>
          <w:highlight w:val="none"/>
        </w:rPr>
      </w:pPr>
      <w:r>
        <w:rPr>
          <w:rFonts w:hint="eastAsia" w:ascii="宋体" w:hAnsi="宋体" w:eastAsia="宋体" w:cs="宋体"/>
          <w:sz w:val="48"/>
          <w:szCs w:val="48"/>
          <w:highlight w:val="none"/>
        </w:rPr>
        <w:t>山东省政府采购合同</w:t>
      </w:r>
    </w:p>
    <w:p>
      <w:pPr>
        <w:snapToGrid w:val="0"/>
        <w:spacing w:line="360" w:lineRule="auto"/>
        <w:jc w:val="center"/>
        <w:rPr>
          <w:rFonts w:hint="eastAsia" w:ascii="宋体" w:hAnsi="宋体" w:eastAsia="宋体" w:cs="宋体"/>
          <w:b/>
          <w:sz w:val="32"/>
          <w:szCs w:val="32"/>
          <w:highlight w:val="none"/>
        </w:rPr>
      </w:pPr>
      <w:r>
        <w:rPr>
          <w:rFonts w:hint="eastAsia" w:ascii="宋体" w:hAnsi="宋体" w:eastAsia="宋体" w:cs="宋体"/>
          <w:sz w:val="32"/>
          <w:szCs w:val="32"/>
          <w:highlight w:val="none"/>
        </w:rPr>
        <w:t>（服务类）</w:t>
      </w:r>
    </w:p>
    <w:p>
      <w:pPr>
        <w:snapToGrid w:val="0"/>
        <w:spacing w:line="360" w:lineRule="auto"/>
        <w:rPr>
          <w:rFonts w:hint="eastAsia" w:ascii="宋体" w:hAnsi="宋体" w:eastAsia="宋体" w:cs="宋体"/>
          <w:sz w:val="36"/>
          <w:szCs w:val="36"/>
          <w:highlight w:val="none"/>
        </w:rPr>
      </w:pPr>
    </w:p>
    <w:p>
      <w:pPr>
        <w:snapToGrid w:val="0"/>
        <w:spacing w:line="360" w:lineRule="auto"/>
        <w:ind w:firstLine="2080" w:firstLineChars="650"/>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项目名称：</w:t>
      </w:r>
      <w:bookmarkStart w:id="0" w:name="_GoBack"/>
      <w:bookmarkEnd w:id="0"/>
    </w:p>
    <w:p>
      <w:pPr>
        <w:snapToGrid w:val="0"/>
        <w:spacing w:line="360" w:lineRule="auto"/>
        <w:ind w:firstLine="2080" w:firstLineChars="650"/>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项目编号：</w:t>
      </w:r>
    </w:p>
    <w:p>
      <w:pPr>
        <w:snapToGrid w:val="0"/>
        <w:spacing w:line="360" w:lineRule="auto"/>
        <w:ind w:firstLine="2080" w:firstLineChars="650"/>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采购编号：</w:t>
      </w:r>
    </w:p>
    <w:p>
      <w:pPr>
        <w:snapToGrid w:val="0"/>
        <w:spacing w:line="360" w:lineRule="auto"/>
        <w:ind w:firstLine="2080" w:firstLineChars="650"/>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合同编号：</w:t>
      </w:r>
    </w:p>
    <w:p>
      <w:pPr>
        <w:snapToGrid w:val="0"/>
        <w:spacing w:line="360" w:lineRule="auto"/>
        <w:ind w:firstLine="2080" w:firstLineChars="650"/>
        <w:jc w:val="left"/>
        <w:rPr>
          <w:rFonts w:hint="eastAsia" w:ascii="宋体" w:hAnsi="宋体" w:eastAsia="宋体" w:cs="宋体"/>
          <w:sz w:val="32"/>
          <w:szCs w:val="32"/>
          <w:highlight w:val="none"/>
        </w:rPr>
      </w:pPr>
    </w:p>
    <w:p>
      <w:pPr>
        <w:snapToGrid w:val="0"/>
        <w:spacing w:line="360" w:lineRule="auto"/>
        <w:rPr>
          <w:rFonts w:hint="eastAsia" w:ascii="宋体" w:hAnsi="宋体" w:eastAsia="宋体" w:cs="宋体"/>
          <w:sz w:val="32"/>
          <w:szCs w:val="32"/>
          <w:highlight w:val="none"/>
        </w:rPr>
      </w:pPr>
    </w:p>
    <w:p>
      <w:pPr>
        <w:snapToGrid w:val="0"/>
        <w:spacing w:line="360" w:lineRule="auto"/>
        <w:rPr>
          <w:rFonts w:hint="eastAsia" w:ascii="宋体" w:hAnsi="宋体" w:eastAsia="宋体" w:cs="宋体"/>
          <w:sz w:val="32"/>
          <w:szCs w:val="32"/>
          <w:highlight w:val="none"/>
        </w:rPr>
      </w:pPr>
    </w:p>
    <w:p>
      <w:pPr>
        <w:snapToGrid w:val="0"/>
        <w:spacing w:line="360" w:lineRule="auto"/>
        <w:rPr>
          <w:rFonts w:hint="eastAsia" w:ascii="宋体" w:hAnsi="宋体" w:eastAsia="宋体" w:cs="宋体"/>
          <w:sz w:val="32"/>
          <w:szCs w:val="32"/>
          <w:highlight w:val="none"/>
        </w:rPr>
      </w:pPr>
    </w:p>
    <w:p>
      <w:pPr>
        <w:snapToGrid w:val="0"/>
        <w:spacing w:line="360" w:lineRule="auto"/>
        <w:ind w:firstLine="640" w:firstLineChars="200"/>
        <w:jc w:val="center"/>
        <w:rPr>
          <w:rFonts w:hint="eastAsia" w:ascii="宋体" w:hAnsi="宋体" w:eastAsia="宋体" w:cs="宋体"/>
          <w:sz w:val="32"/>
          <w:szCs w:val="32"/>
          <w:highlight w:val="none"/>
        </w:rPr>
      </w:pPr>
    </w:p>
    <w:p>
      <w:pPr>
        <w:spacing w:line="360" w:lineRule="auto"/>
        <w:ind w:firstLine="2240" w:firstLineChars="700"/>
        <w:rPr>
          <w:rFonts w:hint="eastAsia" w:ascii="宋体" w:hAnsi="宋体" w:eastAsia="宋体" w:cs="宋体"/>
          <w:sz w:val="32"/>
          <w:szCs w:val="32"/>
          <w:highlight w:val="none"/>
        </w:rPr>
      </w:pPr>
      <w:r>
        <w:rPr>
          <w:rFonts w:hint="eastAsia" w:ascii="宋体" w:hAnsi="宋体" w:eastAsia="宋体" w:cs="宋体"/>
          <w:sz w:val="32"/>
          <w:szCs w:val="32"/>
          <w:highlight w:val="none"/>
        </w:rPr>
        <w:t>甲方：</w:t>
      </w:r>
    </w:p>
    <w:p>
      <w:pPr>
        <w:spacing w:line="360" w:lineRule="auto"/>
        <w:ind w:firstLine="2240" w:firstLineChars="700"/>
        <w:rPr>
          <w:rFonts w:hint="eastAsia" w:ascii="宋体" w:hAnsi="宋体" w:eastAsia="宋体" w:cs="宋体"/>
          <w:sz w:val="32"/>
          <w:szCs w:val="32"/>
          <w:highlight w:val="none"/>
        </w:rPr>
      </w:pPr>
      <w:r>
        <w:rPr>
          <w:rFonts w:hint="eastAsia" w:ascii="宋体" w:hAnsi="宋体" w:eastAsia="宋体" w:cs="宋体"/>
          <w:sz w:val="32"/>
          <w:szCs w:val="32"/>
          <w:highlight w:val="none"/>
        </w:rPr>
        <w:t>乙方：</w:t>
      </w:r>
    </w:p>
    <w:p>
      <w:pPr>
        <w:snapToGrid w:val="0"/>
        <w:spacing w:line="360" w:lineRule="auto"/>
        <w:jc w:val="center"/>
        <w:rPr>
          <w:rFonts w:hint="eastAsia" w:ascii="宋体" w:hAnsi="宋体" w:eastAsia="宋体" w:cs="宋体"/>
          <w:sz w:val="32"/>
          <w:szCs w:val="32"/>
          <w:highlight w:val="none"/>
        </w:rPr>
      </w:pPr>
      <w:r>
        <w:rPr>
          <w:rFonts w:hint="eastAsia" w:ascii="宋体" w:hAnsi="宋体" w:eastAsia="宋体" w:cs="宋体"/>
          <w:b/>
          <w:sz w:val="44"/>
          <w:szCs w:val="44"/>
          <w:highlight w:val="none"/>
        </w:rPr>
        <w:br w:type="page"/>
      </w:r>
      <w:r>
        <w:rPr>
          <w:rFonts w:hint="eastAsia" w:ascii="宋体" w:hAnsi="宋体" w:eastAsia="宋体" w:cs="宋体"/>
          <w:b/>
          <w:sz w:val="32"/>
          <w:szCs w:val="32"/>
          <w:highlight w:val="none"/>
        </w:rPr>
        <w:t>合 同 书</w:t>
      </w:r>
    </w:p>
    <w:p>
      <w:pPr>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采购人（全称）：</w:t>
      </w:r>
      <w:r>
        <w:rPr>
          <w:rFonts w:hint="eastAsia" w:ascii="宋体" w:hAnsi="宋体" w:eastAsia="宋体" w:cs="宋体"/>
          <w:sz w:val="24"/>
          <w:szCs w:val="24"/>
          <w:highlight w:val="none"/>
          <w:u w:val="single"/>
        </w:rPr>
        <w:t>威海市文登区自然资源局</w:t>
      </w:r>
    </w:p>
    <w:p>
      <w:pPr>
        <w:snapToGri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供应商（全称）：</w:t>
      </w:r>
      <w:r>
        <w:rPr>
          <w:rFonts w:hint="eastAsia" w:ascii="宋体" w:hAnsi="宋体" w:eastAsia="宋体" w:cs="宋体"/>
          <w:sz w:val="24"/>
          <w:szCs w:val="24"/>
          <w:highlight w:val="none"/>
          <w:u w:val="single"/>
        </w:rPr>
        <w:t xml:space="preserve">                         </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根据《中华人民共和国民法典》、《中华人民共和国产品质量法》及其他有关法律法规，双方经过友好协商，本着诚实守信、互惠互利的原则，就</w:t>
      </w:r>
      <w:r>
        <w:rPr>
          <w:rFonts w:hint="eastAsia" w:ascii="宋体" w:hAnsi="宋体" w:eastAsia="宋体" w:cs="宋体"/>
          <w:sz w:val="24"/>
          <w:szCs w:val="24"/>
          <w:highlight w:val="none"/>
          <w:u w:val="single"/>
        </w:rPr>
        <w:t>2024年度省级黄河流域生态保护修复文登青龙河省级湿地公园项目</w:t>
      </w:r>
      <w:r>
        <w:rPr>
          <w:rFonts w:hint="eastAsia" w:ascii="宋体" w:hAnsi="宋体" w:eastAsia="宋体" w:cs="宋体"/>
          <w:sz w:val="24"/>
          <w:szCs w:val="24"/>
          <w:highlight w:val="none"/>
          <w:u w:val="none"/>
        </w:rPr>
        <w:t>(项目编号)</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采购与供应事宜签订本合同条款，共同达成如下协议：</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一、合同的组成部分</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1.本合同书</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2.成交通知书</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3.乙方在评审过程中补充或澄清的文件</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项目编号</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竞争性磋商文件</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5.乙方的响应文件</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上述文件将相互补充，合同各方必须予以遵守执行。若有不明确或不一致之处，以上列次序在先者为准。</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二、标的物及数量</w:t>
      </w:r>
    </w:p>
    <w:p>
      <w:pPr>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本合同标的物：</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三、价款</w:t>
      </w:r>
    </w:p>
    <w:p>
      <w:pPr>
        <w:snapToGrid w:val="0"/>
        <w:spacing w:line="360" w:lineRule="auto"/>
        <w:ind w:firstLine="477" w:firstLineChars="19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本合同总价款为人民币</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 xml:space="preserve">        元</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具体详见《报价明细表》。</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四、质量及专利权</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1.乙方提供的标的物的技术参数必须符合该项目的竞争性磋商文件的要求、乙方响应文件的承诺及乙方在评审过程中做出的澄清、说明或者补正内容。</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2.乙方应保证甲方在中华人民共和国境内使用其提供的标的物或标的物的任何一部分时，免受第三方提起的侵犯其专利权、商标权、著作权或其他产权纠纷，否则由乙方承担一切法律责任。</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五、交付地点及甲方联系方式</w:t>
      </w:r>
    </w:p>
    <w:p>
      <w:pPr>
        <w:snapToGrid w:val="0"/>
        <w:spacing w:line="360" w:lineRule="auto"/>
        <w:ind w:firstLine="480" w:firstLineChars="200"/>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交付时间：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交付地点：甲方指定地点</w:t>
      </w:r>
    </w:p>
    <w:p>
      <w:pPr>
        <w:snapToGrid w:val="0"/>
        <w:spacing w:line="360" w:lineRule="auto"/>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联系人：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；联系电话：</w:t>
      </w:r>
      <w:r>
        <w:rPr>
          <w:rFonts w:hint="eastAsia" w:ascii="宋体" w:hAnsi="宋体" w:eastAsia="宋体" w:cs="宋体"/>
          <w:kern w:val="0"/>
          <w:sz w:val="24"/>
          <w:szCs w:val="24"/>
          <w:highlight w:val="none"/>
          <w:u w:val="single"/>
        </w:rPr>
        <w:t xml:space="preserve">                   </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六、服务期限：</w:t>
      </w:r>
    </w:p>
    <w:p>
      <w:pPr>
        <w:snapToGrid w:val="0"/>
        <w:spacing w:line="360" w:lineRule="auto"/>
        <w:ind w:firstLine="482" w:firstLineChars="200"/>
        <w:rPr>
          <w:rFonts w:hint="eastAsia" w:ascii="宋体" w:hAnsi="宋体" w:eastAsia="宋体" w:cs="宋体"/>
          <w:b/>
          <w:kern w:val="0"/>
          <w:sz w:val="24"/>
          <w:szCs w:val="24"/>
          <w:highlight w:val="none"/>
          <w:u w:val="single"/>
        </w:rPr>
      </w:pPr>
      <w:r>
        <w:rPr>
          <w:rFonts w:hint="eastAsia" w:ascii="宋体" w:hAnsi="宋体" w:eastAsia="宋体" w:cs="宋体"/>
          <w:b/>
          <w:kern w:val="0"/>
          <w:sz w:val="24"/>
          <w:szCs w:val="24"/>
          <w:highlight w:val="none"/>
          <w:u w:val="single"/>
        </w:rPr>
        <w:t xml:space="preserve">                           </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七、验收：</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1.乙方提供的服务标的物必须符合国家、省、市有关部门的相关规定，且满足本项目相关需求。</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前，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3.乙方每次服务期满后向甲方发出项目验收建议，甲方应在7个工作日内启动验收。验收严格按照鲁财采〔2018〕70号《山东省政府采购履约验收管理暂行办法》规定执行。</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八、《验收书》的签署：</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1、验收后，甲方应当对验收小组出具的验收意见进行确认，并形成《验收书》。</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2、除涉密情形外，甲方在验收意见确认后2个工作日内在“中国山东政府采购网”公开验收意见。</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九、付款：</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（1）本合同以人民币付款。</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（2）付款方式：由采购人分二次向成交单位支付。</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第一次付款：合同签订生效且具备实施条件后5个工作日内支付合同总金额的</w:t>
      </w:r>
      <w:r>
        <w:rPr>
          <w:rFonts w:hint="eastAsia" w:ascii="宋体" w:hAnsi="宋体" w:eastAsia="宋体" w:cs="宋体"/>
          <w:kern w:val="0"/>
          <w:sz w:val="24"/>
          <w:szCs w:val="24"/>
          <w:highlight w:val="none"/>
          <w:lang w:val="en-US" w:eastAsia="zh-CN"/>
        </w:rPr>
        <w:t>30</w:t>
      </w:r>
      <w:r>
        <w:rPr>
          <w:rFonts w:hint="eastAsia" w:ascii="宋体" w:hAnsi="宋体" w:eastAsia="宋体" w:cs="宋体"/>
          <w:kern w:val="0"/>
          <w:sz w:val="24"/>
          <w:szCs w:val="24"/>
          <w:highlight w:val="none"/>
        </w:rPr>
        <w:t>%；</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第二次付款：项目工作内容服务完毕验收合格后，采购人出具标明“验收合格”的《验收书》核对无误后，将剩余合同价款支付给成交单位。</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采购人在收到成交单位提供的发票后5个工作日内支付款项。未能通过验收的，采购人不予支付相应合同价款，已经支付的，采购人有权要求返还；</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（3）付款按以下资信办理</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收 款 人：</w:t>
      </w:r>
      <w:r>
        <w:rPr>
          <w:rFonts w:hint="eastAsia" w:ascii="宋体" w:hAnsi="宋体" w:eastAsia="宋体" w:cs="宋体"/>
          <w:kern w:val="0"/>
          <w:sz w:val="24"/>
          <w:szCs w:val="24"/>
          <w:highlight w:val="none"/>
          <w:u w:val="single"/>
        </w:rPr>
        <w:t xml:space="preserve">                           </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银行帐号：</w:t>
      </w:r>
      <w:r>
        <w:rPr>
          <w:rFonts w:hint="eastAsia" w:ascii="宋体" w:hAnsi="宋体" w:eastAsia="宋体" w:cs="宋体"/>
          <w:kern w:val="0"/>
          <w:sz w:val="24"/>
          <w:szCs w:val="24"/>
          <w:highlight w:val="none"/>
          <w:u w:val="single"/>
        </w:rPr>
        <w:t xml:space="preserve">                           </w:t>
      </w:r>
    </w:p>
    <w:p>
      <w:pPr>
        <w:snapToGrid w:val="0"/>
        <w:spacing w:line="360" w:lineRule="auto"/>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联 系 人：</w:t>
      </w:r>
      <w:r>
        <w:rPr>
          <w:rFonts w:hint="eastAsia" w:ascii="宋体" w:hAnsi="宋体" w:eastAsia="宋体" w:cs="宋体"/>
          <w:kern w:val="0"/>
          <w:sz w:val="24"/>
          <w:szCs w:val="24"/>
          <w:highlight w:val="none"/>
          <w:u w:val="single"/>
        </w:rPr>
        <w:t xml:space="preserve">                           </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r>
        <w:rPr>
          <w:rFonts w:hint="eastAsia" w:ascii="宋体" w:hAnsi="宋体" w:eastAsia="宋体" w:cs="宋体"/>
          <w:kern w:val="0"/>
          <w:sz w:val="24"/>
          <w:szCs w:val="24"/>
          <w:highlight w:val="none"/>
          <w:u w:val="single"/>
        </w:rPr>
        <w:t xml:space="preserve">                           </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十、后续服务承诺：</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1.根据甲方需要，乙方应派技术人员现场服务，处理现场出现的技术问题。</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2.乙方要保证提供优质的后续服务，其服务必须达到或超过响应文件中的承诺。</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 乙方应严格履行其在该项目的响应文件中所作出的承诺。</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十一、变更、修改及转让：</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应严格按该项目招标文件和其所提交的响应文件相关承诺内容提供服务，除法律法规规定的情形外，乙方不得与甲方擅自就合同标的的内容、质量、服务或验收时间、技术要求以及其他的合同条款进行变更、修改；不得部分或者全部转让其应履行的合同义务。</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十二、违约责任的承担：</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1.乙方违反第六条服务人员到岗时间、服务期限及质保期规定或者经验收不合格而重新提供服务，每逾期一日按照合同总金额的3‰向甲方交纳违约金，不足一日，按一日计算（下同）。</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2.乙方违反第四条服务质量及专利权第一款的约定而降低标准或者违反第十一条变更、修改及转让的约定的，由此而造成逾期的，按本条第一款的规定交纳违约金。</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3.乙方需按照合同约定时间节点完成相关工作，每逾期1天，处罚金2000元。</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4.由于违约而给对方造成损失的，违约方按照实际损失向守约方承担赔偿责任。</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5.由于乙方违约而可能出现其服务（产品）等被甲方使用的情形，其所遭受的损失甲方不需要负责或者承担。</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6.上述违约责任除“不可抗力”外，“不可抗力”是指不能预见、不能避免并不能克服的客观情况，如：战争、严重火灾、洪水、台风、地震等事件。</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十三、争议解决：</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1、合同各方应通过友好协商，解决执行本合同中所发生的或与本合同有关的一切争议，如协商不成，可向合同签约地的人民法院提起诉讼。</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2、在诉讼期间，本合同无争议的部分应继续执行。</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十四、合同生效：</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本合同由双方代表签章并加盖双方公章或合同章后生效。</w:t>
      </w:r>
    </w:p>
    <w:p>
      <w:pPr>
        <w:snapToGrid w:val="0"/>
        <w:spacing w:line="360" w:lineRule="auto"/>
        <w:ind w:firstLine="482" w:firstLineChars="200"/>
        <w:rPr>
          <w:rFonts w:hint="eastAsia" w:ascii="宋体" w:hAnsi="宋体" w:eastAsia="宋体" w:cs="宋体"/>
          <w:kern w:val="0"/>
          <w:sz w:val="24"/>
          <w:szCs w:val="24"/>
          <w:highlight w:val="none"/>
          <w:u w:val="single"/>
        </w:rPr>
      </w:pPr>
      <w:r>
        <w:rPr>
          <w:rFonts w:hint="eastAsia" w:ascii="宋体" w:hAnsi="宋体" w:eastAsia="宋体" w:cs="宋体"/>
          <w:b/>
          <w:kern w:val="0"/>
          <w:sz w:val="24"/>
          <w:szCs w:val="24"/>
          <w:highlight w:val="none"/>
        </w:rPr>
        <w:t>十五、签约地点：</w:t>
      </w:r>
      <w:r>
        <w:rPr>
          <w:rFonts w:hint="eastAsia" w:ascii="宋体" w:hAnsi="宋体" w:eastAsia="宋体" w:cs="宋体"/>
          <w:kern w:val="0"/>
          <w:sz w:val="24"/>
          <w:szCs w:val="24"/>
          <w:highlight w:val="none"/>
          <w:u w:val="single"/>
        </w:rPr>
        <w:t>山东省威海市文登区。</w:t>
      </w:r>
    </w:p>
    <w:p>
      <w:pPr>
        <w:snapToGrid w:val="0"/>
        <w:spacing w:line="360" w:lineRule="auto"/>
        <w:ind w:firstLine="482" w:firstLineChars="200"/>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十六、其他</w:t>
      </w:r>
    </w:p>
    <w:p>
      <w:pPr>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本合同一式伍份，甲方贰份，乙方壹份，代理机构贰份具有同等法律效力。</w:t>
      </w:r>
    </w:p>
    <w:p>
      <w:pPr>
        <w:widowControl/>
        <w:snapToGrid w:val="0"/>
        <w:spacing w:line="360" w:lineRule="auto"/>
        <w:ind w:firstLine="480" w:firstLineChars="200"/>
        <w:jc w:val="left"/>
        <w:rPr>
          <w:rFonts w:hint="eastAsia" w:ascii="宋体" w:hAnsi="宋体" w:eastAsia="宋体" w:cs="宋体"/>
          <w:kern w:val="0"/>
          <w:sz w:val="24"/>
          <w:szCs w:val="24"/>
          <w:highlight w:val="none"/>
        </w:rPr>
      </w:pPr>
    </w:p>
    <w:tbl>
      <w:tblPr>
        <w:tblStyle w:val="4"/>
        <w:tblW w:w="9781" w:type="dxa"/>
        <w:tblInd w:w="108" w:type="dxa"/>
        <w:tblLayout w:type="fixed"/>
        <w:tblCellMar>
          <w:top w:w="0" w:type="dxa"/>
          <w:left w:w="10" w:type="dxa"/>
          <w:bottom w:w="0" w:type="dxa"/>
          <w:right w:w="10" w:type="dxa"/>
        </w:tblCellMar>
      </w:tblPr>
      <w:tblGrid>
        <w:gridCol w:w="4678"/>
        <w:gridCol w:w="5103"/>
      </w:tblGrid>
      <w:tr>
        <w:tblPrEx>
          <w:tblLayout w:type="fixed"/>
          <w:tblCellMar>
            <w:top w:w="0" w:type="dxa"/>
            <w:left w:w="10" w:type="dxa"/>
            <w:bottom w:w="0" w:type="dxa"/>
            <w:right w:w="10" w:type="dxa"/>
          </w:tblCellMar>
        </w:tblPrEx>
        <w:tc>
          <w:tcPr>
            <w:tcW w:w="4678"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    方：</w:t>
            </w:r>
          </w:p>
        </w:tc>
        <w:tc>
          <w:tcPr>
            <w:tcW w:w="5103"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    方：</w:t>
            </w:r>
          </w:p>
        </w:tc>
      </w:tr>
      <w:tr>
        <w:tblPrEx>
          <w:tblLayout w:type="fixed"/>
          <w:tblCellMar>
            <w:top w:w="0" w:type="dxa"/>
            <w:left w:w="10" w:type="dxa"/>
            <w:bottom w:w="0" w:type="dxa"/>
            <w:right w:w="10" w:type="dxa"/>
          </w:tblCellMar>
        </w:tblPrEx>
        <w:tc>
          <w:tcPr>
            <w:tcW w:w="4678"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单位盖章:</w:t>
            </w:r>
          </w:p>
        </w:tc>
        <w:tc>
          <w:tcPr>
            <w:tcW w:w="5103"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单位盖章:</w:t>
            </w:r>
          </w:p>
        </w:tc>
      </w:tr>
      <w:tr>
        <w:tblPrEx>
          <w:tblLayout w:type="fixed"/>
          <w:tblCellMar>
            <w:top w:w="0" w:type="dxa"/>
            <w:left w:w="10" w:type="dxa"/>
            <w:bottom w:w="0" w:type="dxa"/>
            <w:right w:w="10" w:type="dxa"/>
          </w:tblCellMar>
        </w:tblPrEx>
        <w:tc>
          <w:tcPr>
            <w:tcW w:w="4678"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p>
        </w:tc>
        <w:tc>
          <w:tcPr>
            <w:tcW w:w="5103"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p>
        </w:tc>
      </w:tr>
      <w:tr>
        <w:tblPrEx>
          <w:tblLayout w:type="fixed"/>
          <w:tblCellMar>
            <w:top w:w="0" w:type="dxa"/>
            <w:left w:w="10" w:type="dxa"/>
            <w:bottom w:w="0" w:type="dxa"/>
            <w:right w:w="10" w:type="dxa"/>
          </w:tblCellMar>
        </w:tblPrEx>
        <w:tc>
          <w:tcPr>
            <w:tcW w:w="4678"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代表签字或盖章:</w:t>
            </w:r>
          </w:p>
        </w:tc>
        <w:tc>
          <w:tcPr>
            <w:tcW w:w="5103" w:type="dxa"/>
            <w:noWrap/>
            <w:vAlign w:val="top"/>
          </w:tcPr>
          <w:p>
            <w:pPr>
              <w:widowControl/>
              <w:adjustRightInd w:val="0"/>
              <w:snapToGrid w:val="0"/>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代表签字或盖章:</w:t>
            </w:r>
          </w:p>
        </w:tc>
      </w:tr>
    </w:tbl>
    <w:p>
      <w:pPr>
        <w:pStyle w:val="6"/>
        <w:snapToGrid w:val="0"/>
        <w:spacing w:line="360" w:lineRule="auto"/>
        <w:rPr>
          <w:rFonts w:hint="eastAsia" w:ascii="宋体" w:hAnsi="宋体" w:eastAsia="宋体" w:cs="宋体"/>
          <w:highlight w:val="none"/>
        </w:rPr>
      </w:pPr>
    </w:p>
    <w:p>
      <w:pPr>
        <w:pStyle w:val="6"/>
        <w:snapToGrid w:val="0"/>
        <w:spacing w:line="360" w:lineRule="auto"/>
        <w:rPr>
          <w:rFonts w:hint="eastAsia" w:ascii="宋体" w:hAnsi="宋体" w:eastAsia="宋体" w:cs="宋体"/>
          <w:b/>
          <w:highlight w:val="none"/>
        </w:rPr>
      </w:pPr>
      <w:r>
        <w:rPr>
          <w:rFonts w:hint="eastAsia" w:ascii="宋体" w:hAnsi="宋体" w:eastAsia="宋体" w:cs="宋体"/>
          <w:b/>
          <w:highlight w:val="none"/>
        </w:rPr>
        <w:t>注：本合同条款仅供参考，无须打印，成交后需根据情况另行修改。</w:t>
      </w:r>
    </w:p>
    <w:p/>
    <w:sectPr>
      <w:headerReference r:id="rId3" w:type="default"/>
      <w:footerReference r:id="rId4" w:type="default"/>
      <w:pgSz w:w="11906" w:h="16838"/>
      <w:pgMar w:top="850" w:right="850" w:bottom="850" w:left="8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153"/>
        <w:tab w:val="right" w:pos="8306"/>
      </w:tabs>
      <w:jc w:val="center"/>
    </w:pPr>
    <w:r>
      <w:fldChar w:fldCharType="begin"/>
    </w:r>
    <w:r>
      <w:instrText xml:space="preserve">PAGE   \* MERGEFORMAT</w:instrText>
    </w:r>
    <w:r>
      <w:fldChar w:fldCharType="separate"/>
    </w:r>
    <w:r>
      <w:t>83</w:t>
    </w:r>
    <w:r>
      <w:fldChar w:fldCharType="end"/>
    </w:r>
  </w:p>
  <w:p>
    <w:pPr>
      <w:pStyle w:val="2"/>
      <w:spacing w:line="14" w:lineRule="auto"/>
      <w:jc w:val="center"/>
      <w:rPr>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9B34DB"/>
    <w:rsid w:val="00005E56"/>
    <w:rsid w:val="04747E88"/>
    <w:rsid w:val="109E22D3"/>
    <w:rsid w:val="1EAD6A04"/>
    <w:rsid w:val="30AD1A27"/>
    <w:rsid w:val="38124829"/>
    <w:rsid w:val="470A4BAE"/>
    <w:rsid w:val="4BB250B3"/>
    <w:rsid w:val="4DB31875"/>
    <w:rsid w:val="519B34DB"/>
    <w:rsid w:val="668E00CA"/>
    <w:rsid w:val="742D0849"/>
    <w:rsid w:val="7A392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0"/>
    <w:pPr>
      <w:spacing w:line="420" w:lineRule="auto"/>
    </w:pPr>
    <w:rPr>
      <w:kern w:val="0"/>
      <w:sz w:val="24"/>
      <w:szCs w:val="24"/>
    </w:rPr>
  </w:style>
  <w:style w:type="paragraph" w:styleId="3">
    <w:name w:val="footer"/>
    <w:basedOn w:val="1"/>
    <w:qFormat/>
    <w:uiPriority w:val="0"/>
    <w:pPr>
      <w:snapToGrid w:val="0"/>
      <w:jc w:val="left"/>
    </w:pPr>
    <w:rPr>
      <w:kern w:val="0"/>
      <w:sz w:val="18"/>
      <w:szCs w:val="18"/>
    </w:rPr>
  </w:style>
  <w:style w:type="paragraph" w:customStyle="1" w:styleId="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2026-04-09T00:56:00Z</dcterms:created>
  <dc:creator>薄荷^_微凉^</dc:creator>
  <cp:lastModifiedBy>薄荷^_微凉^</cp:lastModifiedBy>
  <dcterms:modified xsi:type="dcterms:W3CDTF">2026-04-09T00:57:54Z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DE33644EC3BF4D859A64B6CF1FEF395F_12</vt:lpwstr>
  </property>
</Properties>
</file>