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6825" w:lineRule="exact"/>
        <w:rPr/>
      </w:pPr>
      <w:r>
        <w:rPr>
          <w:position w:val="-336"/>
        </w:rPr>
        <w:drawing>
          <wp:inline distT="0" distB="0" distL="0" distR="0">
            <wp:extent cx="7559040" cy="10683901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9040" cy="10683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25" w:lineRule="exact"/>
        <w:sectPr>
          <w:headerReference w:type="default" r:id="rId1"/>
          <w:footerReference w:type="default" r:id="rId2"/>
          <w:pgSz w:w="11906" w:h="16838"/>
          <w:pgMar w:top="1" w:right="1" w:bottom="1" w:left="0" w:header="0" w:footer="0" w:gutter="0"/>
        </w:sectPr>
        <w:rPr/>
      </w:pP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"/>
        <w:spacing w:before="101" w:line="219" w:lineRule="auto"/>
        <w:rPr/>
      </w:pPr>
      <w:r>
        <w:rPr>
          <w:spacing w:val="6"/>
        </w:rPr>
        <w:t>荣成、乳山分中心：</w:t>
      </w:r>
    </w:p>
    <w:p>
      <w:pPr>
        <w:pStyle w:val="BodyText"/>
        <w:ind w:firstLine="655"/>
        <w:spacing w:before="210" w:line="345" w:lineRule="auto"/>
        <w:jc w:val="both"/>
        <w:rPr/>
      </w:pPr>
      <w:r>
        <w:rPr>
          <w:spacing w:val="4"/>
        </w:rPr>
        <w:t>为深化招标投标领域突出问题系统整治，贯彻落实山东省发</w:t>
      </w:r>
      <w:r>
        <w:rPr>
          <w:spacing w:val="9"/>
        </w:rPr>
        <w:t>展和改革委员会等</w:t>
      </w:r>
      <w:r>
        <w:rPr>
          <w:spacing w:val="-37"/>
        </w:rPr>
        <w:t xml:space="preserve"> </w:t>
      </w:r>
      <w:r>
        <w:rPr>
          <w:rFonts w:ascii="SimSun" w:hAnsi="SimSun" w:eastAsia="SimSun" w:cs="SimSun"/>
          <w:spacing w:val="9"/>
        </w:rPr>
        <w:t>11</w:t>
      </w:r>
      <w:r>
        <w:rPr>
          <w:rFonts w:ascii="SimSun" w:hAnsi="SimSun" w:eastAsia="SimSun" w:cs="SimSun"/>
          <w:spacing w:val="-60"/>
        </w:rPr>
        <w:t xml:space="preserve"> </w:t>
      </w:r>
      <w:r>
        <w:rPr>
          <w:spacing w:val="9"/>
        </w:rPr>
        <w:t>部门《关于加快推动远程异地评标常态化</w:t>
      </w:r>
      <w:r>
        <w:rPr>
          <w:spacing w:val="6"/>
        </w:rPr>
        <w:t>运行的通知》（鲁发改公管〔</w:t>
      </w:r>
      <w:r>
        <w:rPr>
          <w:rFonts w:ascii="SimSun" w:hAnsi="SimSun" w:eastAsia="SimSun" w:cs="SimSun"/>
          <w:spacing w:val="6"/>
        </w:rPr>
        <w:t>2026</w:t>
      </w:r>
      <w:r>
        <w:rPr>
          <w:spacing w:val="6"/>
        </w:rPr>
        <w:t>〕</w:t>
      </w:r>
      <w:r>
        <w:rPr>
          <w:rFonts w:ascii="SimSun" w:hAnsi="SimSun" w:eastAsia="SimSun" w:cs="SimSun"/>
          <w:spacing w:val="6"/>
        </w:rPr>
        <w:t>307</w:t>
      </w:r>
      <w:r>
        <w:rPr>
          <w:rFonts w:ascii="SimSun" w:hAnsi="SimSun" w:eastAsia="SimSun" w:cs="SimSun"/>
          <w:spacing w:val="-31"/>
        </w:rPr>
        <w:t xml:space="preserve"> </w:t>
      </w:r>
      <w:r>
        <w:rPr>
          <w:spacing w:val="6"/>
        </w:rPr>
        <w:t>号）的要求，现就推动</w:t>
      </w:r>
      <w:r>
        <w:rPr>
          <w:spacing w:val="17"/>
        </w:rPr>
        <w:t>依法必须进行招标的工程建设项目常态化开展远程异地评标有</w:t>
      </w:r>
      <w:r>
        <w:rPr>
          <w:spacing w:val="7"/>
        </w:rPr>
        <w:t>关事宜通知如下：</w:t>
      </w:r>
    </w:p>
    <w:p>
      <w:pPr>
        <w:ind w:left="651"/>
        <w:spacing w:before="3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一、实施范围和时间</w:t>
      </w:r>
    </w:p>
    <w:p>
      <w:pPr>
        <w:pStyle w:val="BodyText"/>
        <w:ind w:firstLine="648"/>
        <w:spacing w:before="198" w:line="345" w:lineRule="auto"/>
        <w:jc w:val="both"/>
        <w:rPr/>
      </w:pPr>
      <w:r>
        <w:rPr>
          <w:spacing w:val="7"/>
        </w:rPr>
        <w:t>按照远程异地评标率</w:t>
      </w:r>
      <w:r>
        <w:rPr>
          <w:spacing w:val="-34"/>
        </w:rPr>
        <w:t xml:space="preserve"> </w:t>
      </w:r>
      <w:r>
        <w:rPr>
          <w:rFonts w:ascii="SimSun" w:hAnsi="SimSun" w:eastAsia="SimSun" w:cs="SimSun"/>
          <w:spacing w:val="7"/>
        </w:rPr>
        <w:t>2026</w:t>
      </w:r>
      <w:r>
        <w:rPr>
          <w:rFonts w:ascii="SimSun" w:hAnsi="SimSun" w:eastAsia="SimSun" w:cs="SimSun"/>
          <w:spacing w:val="-51"/>
        </w:rPr>
        <w:t xml:space="preserve"> </w:t>
      </w:r>
      <w:r>
        <w:rPr>
          <w:spacing w:val="7"/>
        </w:rPr>
        <w:t>年达到</w:t>
      </w:r>
      <w:r>
        <w:rPr>
          <w:spacing w:val="-54"/>
        </w:rPr>
        <w:t xml:space="preserve"> </w:t>
      </w:r>
      <w:r>
        <w:rPr>
          <w:rFonts w:ascii="SimSun" w:hAnsi="SimSun" w:eastAsia="SimSun" w:cs="SimSun"/>
          <w:spacing w:val="7"/>
        </w:rPr>
        <w:t>60%</w:t>
      </w:r>
      <w:r>
        <w:rPr>
          <w:spacing w:val="7"/>
        </w:rPr>
        <w:t>、</w:t>
      </w:r>
      <w:r>
        <w:rPr>
          <w:rFonts w:ascii="SimSun" w:hAnsi="SimSun" w:eastAsia="SimSun" w:cs="SimSun"/>
          <w:spacing w:val="7"/>
        </w:rPr>
        <w:t>2027</w:t>
      </w:r>
      <w:r>
        <w:rPr>
          <w:rFonts w:ascii="SimSun" w:hAnsi="SimSun" w:eastAsia="SimSun" w:cs="SimSun"/>
          <w:spacing w:val="-51"/>
        </w:rPr>
        <w:t xml:space="preserve"> </w:t>
      </w:r>
      <w:r>
        <w:rPr>
          <w:spacing w:val="7"/>
        </w:rPr>
        <w:t>年达到</w:t>
      </w:r>
      <w:r>
        <w:rPr>
          <w:spacing w:val="-54"/>
        </w:rPr>
        <w:t xml:space="preserve"> </w:t>
      </w:r>
      <w:r>
        <w:rPr>
          <w:rFonts w:ascii="SimSun" w:hAnsi="SimSun" w:eastAsia="SimSun" w:cs="SimSun"/>
          <w:spacing w:val="7"/>
        </w:rPr>
        <w:t>80%</w:t>
      </w:r>
      <w:r>
        <w:rPr>
          <w:spacing w:val="7"/>
        </w:rPr>
        <w:t>的</w:t>
      </w:r>
      <w:r>
        <w:rPr>
          <w:spacing w:val="5"/>
        </w:rPr>
        <w:t>目标，采取“分步实施”的方式，推动远程异地评标常态化，并</w:t>
      </w:r>
      <w:r>
        <w:rPr>
          <w:spacing w:val="8"/>
        </w:rPr>
        <w:t>逐步实现远程异地评标全覆盖。</w:t>
      </w:r>
    </w:p>
    <w:p>
      <w:pPr>
        <w:ind w:left="638"/>
        <w:spacing w:before="5" w:line="218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（一）跨省远程异地评标</w:t>
      </w:r>
    </w:p>
    <w:p>
      <w:pPr>
        <w:pStyle w:val="BodyText"/>
        <w:ind w:left="49" w:right="2" w:firstLine="620"/>
        <w:spacing w:before="209" w:line="346" w:lineRule="auto"/>
        <w:rPr/>
      </w:pPr>
      <w:r>
        <w:rPr>
          <w:rFonts w:ascii="SimSun" w:hAnsi="SimSun" w:eastAsia="SimSun" w:cs="SimSun"/>
          <w:spacing w:val="7"/>
        </w:rPr>
        <w:t>1.</w:t>
      </w:r>
      <w:r>
        <w:rPr>
          <w:spacing w:val="7"/>
        </w:rPr>
        <w:t>工程施工类（施工总承包）单项合同估算价</w:t>
      </w:r>
      <w:r>
        <w:rPr>
          <w:spacing w:val="-51"/>
        </w:rPr>
        <w:t xml:space="preserve"> </w:t>
      </w:r>
      <w:r>
        <w:rPr>
          <w:rFonts w:ascii="SimSun" w:hAnsi="SimSun" w:eastAsia="SimSun" w:cs="SimSun"/>
          <w:spacing w:val="7"/>
        </w:rPr>
        <w:t>8000</w:t>
      </w:r>
      <w:r>
        <w:rPr>
          <w:rFonts w:ascii="SimSun" w:hAnsi="SimSun" w:eastAsia="SimSun" w:cs="SimSun"/>
          <w:spacing w:val="-42"/>
        </w:rPr>
        <w:t xml:space="preserve"> </w:t>
      </w:r>
      <w:r>
        <w:rPr>
          <w:spacing w:val="7"/>
        </w:rPr>
        <w:t>万元及</w:t>
      </w:r>
      <w:r>
        <w:rPr>
          <w:spacing w:val="-7"/>
        </w:rPr>
        <w:t>以上的；</w:t>
      </w:r>
    </w:p>
    <w:p>
      <w:pPr>
        <w:pStyle w:val="BodyText"/>
        <w:ind w:left="2" w:right="2" w:firstLine="648"/>
        <w:spacing w:before="2" w:line="344" w:lineRule="auto"/>
        <w:rPr/>
      </w:pPr>
      <w:r>
        <w:rPr>
          <w:rFonts w:ascii="SimSun" w:hAnsi="SimSun" w:eastAsia="SimSun" w:cs="SimSun"/>
          <w:spacing w:val="7"/>
        </w:rPr>
        <w:t>2.</w:t>
      </w:r>
      <w:r>
        <w:rPr>
          <w:spacing w:val="7"/>
        </w:rPr>
        <w:t>货物采购类（设备、材料等）单项合同估算价</w:t>
      </w:r>
      <w:r>
        <w:rPr>
          <w:spacing w:val="-29"/>
        </w:rPr>
        <w:t xml:space="preserve"> </w:t>
      </w:r>
      <w:r>
        <w:rPr>
          <w:rFonts w:ascii="SimSun" w:hAnsi="SimSun" w:eastAsia="SimSun" w:cs="SimSun"/>
          <w:spacing w:val="7"/>
        </w:rPr>
        <w:t>1600</w:t>
      </w:r>
      <w:r>
        <w:rPr>
          <w:rFonts w:ascii="SimSun" w:hAnsi="SimSun" w:eastAsia="SimSun" w:cs="SimSun"/>
          <w:spacing w:val="-44"/>
        </w:rPr>
        <w:t xml:space="preserve"> </w:t>
      </w:r>
      <w:r>
        <w:rPr>
          <w:spacing w:val="7"/>
        </w:rPr>
        <w:t>万元</w:t>
      </w:r>
      <w:r>
        <w:rPr>
          <w:spacing w:val="6"/>
        </w:rPr>
        <w:t>及以上的；</w:t>
      </w:r>
    </w:p>
    <w:p>
      <w:pPr>
        <w:pStyle w:val="BodyText"/>
        <w:ind w:left="2" w:right="2" w:firstLine="651"/>
        <w:spacing w:before="2" w:line="346" w:lineRule="auto"/>
        <w:rPr/>
      </w:pPr>
      <w:r>
        <w:rPr>
          <w:rFonts w:ascii="SimSun" w:hAnsi="SimSun" w:eastAsia="SimSun" w:cs="SimSun"/>
          <w:spacing w:val="2"/>
        </w:rPr>
        <w:t>3.</w:t>
      </w:r>
      <w:r>
        <w:rPr>
          <w:spacing w:val="2"/>
        </w:rPr>
        <w:t>服务类（勘察、设计、监理等）单项合同估算价</w:t>
      </w:r>
      <w:r>
        <w:rPr>
          <w:spacing w:val="-44"/>
        </w:rPr>
        <w:t xml:space="preserve"> </w:t>
      </w:r>
      <w:r>
        <w:rPr>
          <w:rFonts w:ascii="SimSun" w:hAnsi="SimSun" w:eastAsia="SimSun" w:cs="SimSun"/>
          <w:spacing w:val="2"/>
        </w:rPr>
        <w:t>800</w:t>
      </w:r>
      <w:r>
        <w:rPr>
          <w:rFonts w:ascii="SimSun" w:hAnsi="SimSun" w:eastAsia="SimSun" w:cs="SimSun"/>
          <w:spacing w:val="-47"/>
        </w:rPr>
        <w:t xml:space="preserve"> </w:t>
      </w:r>
      <w:r>
        <w:rPr>
          <w:spacing w:val="2"/>
        </w:rPr>
        <w:t>万元</w:t>
      </w:r>
      <w:r>
        <w:rPr>
          <w:spacing w:val="6"/>
        </w:rPr>
        <w:t>及以上的。</w:t>
      </w:r>
    </w:p>
    <w:p>
      <w:pPr>
        <w:ind w:left="638"/>
        <w:spacing w:line="218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（二）省域内跨市远程异地评标</w:t>
      </w:r>
    </w:p>
    <w:p>
      <w:pPr>
        <w:pStyle w:val="BodyText"/>
        <w:ind w:left="2" w:firstLine="668"/>
        <w:spacing w:before="212" w:line="345" w:lineRule="auto"/>
        <w:rPr/>
      </w:pPr>
      <w:r>
        <w:rPr>
          <w:rFonts w:ascii="SimSun" w:hAnsi="SimSun" w:eastAsia="SimSun" w:cs="SimSun"/>
          <w:spacing w:val="10"/>
        </w:rPr>
        <w:t>1.</w:t>
      </w:r>
      <w:r>
        <w:rPr>
          <w:spacing w:val="10"/>
        </w:rPr>
        <w:t>工程施工类（含施工总承包</w:t>
      </w:r>
      <w:r>
        <w:rPr>
          <w:spacing w:val="27"/>
        </w:rPr>
        <w:t>）：</w:t>
      </w:r>
      <w:r>
        <w:rPr>
          <w:rFonts w:ascii="SimSun" w:hAnsi="SimSun" w:eastAsia="SimSun" w:cs="SimSun"/>
          <w:spacing w:val="10"/>
        </w:rPr>
        <w:t>2026</w:t>
      </w:r>
      <w:r>
        <w:rPr>
          <w:rFonts w:ascii="SimSun" w:hAnsi="SimSun" w:eastAsia="SimSun" w:cs="SimSun"/>
          <w:spacing w:val="-53"/>
        </w:rPr>
        <w:t xml:space="preserve"> </w:t>
      </w:r>
      <w:r>
        <w:rPr>
          <w:spacing w:val="10"/>
        </w:rPr>
        <w:t>年起，单项</w:t>
      </w:r>
      <w:r>
        <w:rPr>
          <w:spacing w:val="9"/>
        </w:rPr>
        <w:t>合同估</w:t>
      </w:r>
      <w:r>
        <w:rPr>
          <w:spacing w:val="8"/>
        </w:rPr>
        <w:t>算价</w:t>
      </w:r>
      <w:r>
        <w:rPr>
          <w:spacing w:val="-57"/>
        </w:rPr>
        <w:t xml:space="preserve"> </w:t>
      </w:r>
      <w:r>
        <w:rPr>
          <w:rFonts w:ascii="SimSun" w:hAnsi="SimSun" w:eastAsia="SimSun" w:cs="SimSun"/>
          <w:spacing w:val="8"/>
        </w:rPr>
        <w:t>800</w:t>
      </w:r>
      <w:r>
        <w:rPr>
          <w:rFonts w:ascii="SimSun" w:hAnsi="SimSun" w:eastAsia="SimSun" w:cs="SimSun"/>
          <w:spacing w:val="-40"/>
        </w:rPr>
        <w:t xml:space="preserve"> </w:t>
      </w:r>
      <w:r>
        <w:rPr>
          <w:spacing w:val="8"/>
        </w:rPr>
        <w:t>万元及以上的；</w:t>
      </w:r>
      <w:r>
        <w:rPr>
          <w:rFonts w:ascii="SimSun" w:hAnsi="SimSun" w:eastAsia="SimSun" w:cs="SimSun"/>
          <w:spacing w:val="8"/>
        </w:rPr>
        <w:t>2027</w:t>
      </w:r>
      <w:r>
        <w:rPr>
          <w:rFonts w:ascii="SimSun" w:hAnsi="SimSun" w:eastAsia="SimSun" w:cs="SimSun"/>
          <w:spacing w:val="-53"/>
        </w:rPr>
        <w:t xml:space="preserve"> </w:t>
      </w:r>
      <w:r>
        <w:rPr>
          <w:spacing w:val="8"/>
        </w:rPr>
        <w:t>年起，单项合同估算</w:t>
      </w:r>
      <w:r>
        <w:rPr>
          <w:spacing w:val="7"/>
        </w:rPr>
        <w:t>价</w:t>
      </w:r>
      <w:r>
        <w:rPr>
          <w:spacing w:val="-54"/>
        </w:rPr>
        <w:t xml:space="preserve"> </w:t>
      </w:r>
      <w:r>
        <w:rPr>
          <w:rFonts w:ascii="SimSun" w:hAnsi="SimSun" w:eastAsia="SimSun" w:cs="SimSun"/>
          <w:spacing w:val="7"/>
        </w:rPr>
        <w:t>600</w:t>
      </w:r>
      <w:r>
        <w:rPr>
          <w:rFonts w:ascii="SimSun" w:hAnsi="SimSun" w:eastAsia="SimSun" w:cs="SimSun"/>
          <w:spacing w:val="-39"/>
        </w:rPr>
        <w:t xml:space="preserve"> </w:t>
      </w:r>
      <w:r>
        <w:rPr>
          <w:spacing w:val="7"/>
        </w:rPr>
        <w:t>万元</w:t>
      </w:r>
      <w:r>
        <w:rPr>
          <w:spacing w:val="6"/>
        </w:rPr>
        <w:t>及以上的；</w:t>
      </w:r>
    </w:p>
    <w:p>
      <w:pPr>
        <w:pStyle w:val="BodyText"/>
        <w:ind w:left="15" w:firstLine="634"/>
        <w:spacing w:before="3" w:line="345" w:lineRule="auto"/>
        <w:rPr/>
      </w:pPr>
      <w:r>
        <w:rPr>
          <w:rFonts w:ascii="SimSun" w:hAnsi="SimSun" w:eastAsia="SimSun" w:cs="SimSun"/>
          <w:spacing w:val="10"/>
        </w:rPr>
        <w:t>2.</w:t>
      </w:r>
      <w:r>
        <w:rPr>
          <w:spacing w:val="10"/>
        </w:rPr>
        <w:t>货物采购类（设备、材料等</w:t>
      </w:r>
      <w:r>
        <w:rPr>
          <w:spacing w:val="35"/>
        </w:rPr>
        <w:t>）：</w:t>
      </w:r>
      <w:r>
        <w:rPr>
          <w:rFonts w:ascii="SimSun" w:hAnsi="SimSun" w:eastAsia="SimSun" w:cs="SimSun"/>
          <w:spacing w:val="10"/>
        </w:rPr>
        <w:t>2026</w:t>
      </w:r>
      <w:r>
        <w:rPr>
          <w:rFonts w:ascii="SimSun" w:hAnsi="SimSun" w:eastAsia="SimSun" w:cs="SimSun"/>
          <w:spacing w:val="-52"/>
        </w:rPr>
        <w:t xml:space="preserve"> </w:t>
      </w:r>
      <w:r>
        <w:rPr>
          <w:spacing w:val="10"/>
        </w:rPr>
        <w:t>年起，单项合同估</w:t>
      </w:r>
      <w:r>
        <w:rPr>
          <w:spacing w:val="7"/>
        </w:rPr>
        <w:t>算价</w:t>
      </w:r>
      <w:r>
        <w:rPr>
          <w:spacing w:val="-50"/>
        </w:rPr>
        <w:t xml:space="preserve"> </w:t>
      </w:r>
      <w:r>
        <w:rPr>
          <w:rFonts w:ascii="SimSun" w:hAnsi="SimSun" w:eastAsia="SimSun" w:cs="SimSun"/>
          <w:spacing w:val="7"/>
        </w:rPr>
        <w:t>450</w:t>
      </w:r>
      <w:r>
        <w:rPr>
          <w:rFonts w:ascii="SimSun" w:hAnsi="SimSun" w:eastAsia="SimSun" w:cs="SimSun"/>
          <w:spacing w:val="-39"/>
        </w:rPr>
        <w:t xml:space="preserve"> </w:t>
      </w:r>
      <w:r>
        <w:rPr>
          <w:spacing w:val="7"/>
        </w:rPr>
        <w:t>万元及以上的；</w:t>
      </w:r>
      <w:r>
        <w:rPr>
          <w:rFonts w:ascii="SimSun" w:hAnsi="SimSun" w:eastAsia="SimSun" w:cs="SimSun"/>
          <w:spacing w:val="7"/>
        </w:rPr>
        <w:t>2027</w:t>
      </w:r>
      <w:r>
        <w:rPr>
          <w:rFonts w:ascii="SimSun" w:hAnsi="SimSun" w:eastAsia="SimSun" w:cs="SimSun"/>
          <w:spacing w:val="-54"/>
        </w:rPr>
        <w:t xml:space="preserve"> </w:t>
      </w:r>
      <w:r>
        <w:rPr>
          <w:spacing w:val="7"/>
        </w:rPr>
        <w:t>年起，单项合同估算价</w:t>
      </w:r>
      <w:r>
        <w:rPr>
          <w:spacing w:val="-49"/>
        </w:rPr>
        <w:t xml:space="preserve"> </w:t>
      </w:r>
      <w:r>
        <w:rPr>
          <w:rFonts w:ascii="SimSun" w:hAnsi="SimSun" w:eastAsia="SimSun" w:cs="SimSun"/>
          <w:spacing w:val="7"/>
        </w:rPr>
        <w:t>300</w:t>
      </w:r>
      <w:r>
        <w:rPr>
          <w:rFonts w:ascii="SimSun" w:hAnsi="SimSun" w:eastAsia="SimSun" w:cs="SimSun"/>
          <w:spacing w:val="-40"/>
        </w:rPr>
        <w:t xml:space="preserve"> </w:t>
      </w:r>
      <w:r>
        <w:rPr>
          <w:spacing w:val="7"/>
        </w:rPr>
        <w:t>万元</w:t>
      </w:r>
    </w:p>
    <w:p>
      <w:pPr>
        <w:spacing w:line="345" w:lineRule="auto"/>
        <w:sectPr>
          <w:footerReference w:type="default" r:id="rId4"/>
          <w:pgSz w:w="11906" w:h="16839"/>
          <w:pgMar w:top="400" w:right="1530" w:bottom="1483" w:left="1537" w:header="0" w:footer="1116" w:gutter="0"/>
        </w:sectPr>
        <w:rPr/>
      </w:pP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6"/>
        <w:spacing w:before="100" w:line="220" w:lineRule="auto"/>
        <w:rPr/>
      </w:pPr>
      <w:r>
        <w:rPr>
          <w:spacing w:val="6"/>
        </w:rPr>
        <w:t>及以上的；</w:t>
      </w:r>
    </w:p>
    <w:p>
      <w:pPr>
        <w:pStyle w:val="BodyText"/>
        <w:ind w:left="12" w:right="155" w:firstLine="644"/>
        <w:spacing w:before="209" w:line="344" w:lineRule="auto"/>
        <w:rPr/>
      </w:pPr>
      <w:r>
        <w:rPr>
          <w:rFonts w:ascii="SimSun" w:hAnsi="SimSun" w:eastAsia="SimSun" w:cs="SimSun"/>
          <w:spacing w:val="10"/>
        </w:rPr>
        <w:t>3.</w:t>
      </w:r>
      <w:r>
        <w:rPr>
          <w:spacing w:val="10"/>
        </w:rPr>
        <w:t>服务类（勘察、设计、监理等</w:t>
      </w:r>
      <w:r>
        <w:rPr>
          <w:spacing w:val="34"/>
        </w:rPr>
        <w:t>）：</w:t>
      </w:r>
      <w:r>
        <w:rPr>
          <w:rFonts w:ascii="SimSun" w:hAnsi="SimSun" w:eastAsia="SimSun" w:cs="SimSun"/>
          <w:spacing w:val="10"/>
        </w:rPr>
        <w:t>2026</w:t>
      </w:r>
      <w:r>
        <w:rPr>
          <w:rFonts w:ascii="SimSun" w:hAnsi="SimSun" w:eastAsia="SimSun" w:cs="SimSun"/>
          <w:spacing w:val="-53"/>
        </w:rPr>
        <w:t xml:space="preserve"> </w:t>
      </w:r>
      <w:r>
        <w:rPr>
          <w:spacing w:val="10"/>
        </w:rPr>
        <w:t>年起，单项合同</w:t>
      </w:r>
      <w:r>
        <w:rPr>
          <w:spacing w:val="1"/>
        </w:rPr>
        <w:t>估算价</w:t>
      </w:r>
      <w:r>
        <w:rPr>
          <w:spacing w:val="-29"/>
        </w:rPr>
        <w:t xml:space="preserve"> </w:t>
      </w:r>
      <w:r>
        <w:rPr>
          <w:rFonts w:ascii="SimSun" w:hAnsi="SimSun" w:eastAsia="SimSun" w:cs="SimSun"/>
          <w:spacing w:val="1"/>
        </w:rPr>
        <w:t>100</w:t>
      </w:r>
      <w:r>
        <w:rPr>
          <w:rFonts w:ascii="SimSun" w:hAnsi="SimSun" w:eastAsia="SimSun" w:cs="SimSun"/>
          <w:spacing w:val="-45"/>
        </w:rPr>
        <w:t xml:space="preserve"> </w:t>
      </w:r>
      <w:r>
        <w:rPr>
          <w:spacing w:val="1"/>
        </w:rPr>
        <w:t>万元及以上的。</w:t>
      </w:r>
    </w:p>
    <w:p>
      <w:pPr>
        <w:pStyle w:val="BodyText"/>
        <w:ind w:right="106" w:firstLine="666"/>
        <w:spacing w:before="6" w:line="345" w:lineRule="auto"/>
        <w:jc w:val="both"/>
        <w:rPr/>
      </w:pPr>
      <w:r>
        <w:rPr>
          <w:spacing w:val="4"/>
        </w:rPr>
        <w:t>实行工程总承包发包的，总承包中施工、货物、服务等各部</w:t>
      </w:r>
      <w:r>
        <w:rPr>
          <w:spacing w:val="6"/>
        </w:rPr>
        <w:t>分的合同估算价，有任意一项达到前几项所列</w:t>
      </w:r>
      <w:r>
        <w:rPr>
          <w:spacing w:val="5"/>
        </w:rPr>
        <w:t>标准的，整个总承</w:t>
      </w:r>
      <w:r>
        <w:rPr>
          <w:spacing w:val="7"/>
        </w:rPr>
        <w:t>包发包应当按照上述标准实行跨省或省域内跨市远程异地评标。</w:t>
      </w:r>
      <w:r>
        <w:rPr>
          <w:spacing w:val="9"/>
        </w:rPr>
        <w:t>鼓励非依法必须招标的工程建设项目采用远程异地评标。</w:t>
      </w:r>
    </w:p>
    <w:p>
      <w:pPr>
        <w:pStyle w:val="BodyText"/>
        <w:ind w:left="9" w:right="114" w:firstLine="644"/>
        <w:spacing w:before="3" w:line="345" w:lineRule="auto"/>
        <w:jc w:val="both"/>
        <w:rPr/>
      </w:pPr>
      <w:r>
        <w:rPr>
          <w:spacing w:val="6"/>
        </w:rPr>
        <w:t>技术复杂、专业性强、涉及国家秘密或者有其他特殊原因，</w:t>
      </w:r>
      <w:r>
        <w:rPr>
          <w:spacing w:val="5"/>
        </w:rPr>
        <w:t>不宜实行远程异地评标的，招标人应当在项目登记阶段作出书面</w:t>
      </w:r>
      <w:r>
        <w:rPr>
          <w:spacing w:val="5"/>
        </w:rPr>
        <w:t>说明，并上传至公共资源交易平台，作为招标投标情况资料提交</w:t>
      </w:r>
      <w:r>
        <w:rPr>
          <w:spacing w:val="6"/>
        </w:rPr>
        <w:t>行政监督部门。</w:t>
      </w:r>
    </w:p>
    <w:p>
      <w:pPr>
        <w:ind w:left="642"/>
        <w:spacing w:before="2" w:line="222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（三）市域内多点分散评标</w:t>
      </w:r>
    </w:p>
    <w:p>
      <w:pPr>
        <w:pStyle w:val="BodyText"/>
        <w:ind w:left="7" w:firstLine="639"/>
        <w:spacing w:before="211" w:line="345" w:lineRule="auto"/>
        <w:jc w:val="both"/>
        <w:rPr/>
      </w:pPr>
      <w:r>
        <w:rPr>
          <w:spacing w:val="12"/>
        </w:rPr>
        <w:t>根据市发展和改革委员会等</w:t>
      </w:r>
      <w:r>
        <w:rPr>
          <w:spacing w:val="-27"/>
        </w:rPr>
        <w:t xml:space="preserve"> </w:t>
      </w:r>
      <w:r>
        <w:rPr>
          <w:rFonts w:ascii="SimSun" w:hAnsi="SimSun" w:eastAsia="SimSun" w:cs="SimSun"/>
          <w:spacing w:val="12"/>
        </w:rPr>
        <w:t>11</w:t>
      </w:r>
      <w:r>
        <w:rPr>
          <w:spacing w:val="12"/>
        </w:rPr>
        <w:t>部门《关于印发〈威海市工</w:t>
      </w:r>
      <w:r>
        <w:rPr/>
        <w:t>程建设项目多点分散评标工作方案〉的通知》（威发改发〔</w:t>
      </w:r>
      <w:r>
        <w:rPr>
          <w:rFonts w:ascii="SimSun" w:hAnsi="SimSun" w:eastAsia="SimSun" w:cs="SimSun"/>
          <w:spacing w:val="-1"/>
        </w:rPr>
        <w:t>2024</w:t>
      </w:r>
      <w:r>
        <w:rPr>
          <w:spacing w:val="-1"/>
        </w:rPr>
        <w:t>〕</w:t>
      </w:r>
      <w:r>
        <w:rPr/>
        <w:t xml:space="preserve"> </w:t>
      </w:r>
      <w:r>
        <w:rPr>
          <w:rFonts w:ascii="SimSun" w:hAnsi="SimSun" w:eastAsia="SimSun" w:cs="SimSun"/>
          <w:spacing w:val="5"/>
        </w:rPr>
        <w:t>229</w:t>
      </w:r>
      <w:r>
        <w:rPr>
          <w:rFonts w:ascii="SimSun" w:hAnsi="SimSun" w:eastAsia="SimSun" w:cs="SimSun"/>
          <w:spacing w:val="-51"/>
        </w:rPr>
        <w:t xml:space="preserve"> </w:t>
      </w:r>
      <w:r>
        <w:rPr>
          <w:spacing w:val="5"/>
        </w:rPr>
        <w:t>号）要求，</w:t>
      </w:r>
      <w:r>
        <w:rPr>
          <w:spacing w:val="-90"/>
        </w:rPr>
        <w:t xml:space="preserve"> </w:t>
      </w:r>
      <w:r>
        <w:rPr>
          <w:spacing w:val="5"/>
        </w:rPr>
        <w:t>自本通知印发之日起，凡使</w:t>
      </w:r>
      <w:r>
        <w:rPr>
          <w:spacing w:val="4"/>
        </w:rPr>
        <w:t>用威海市建设工程电</w:t>
      </w:r>
      <w:r>
        <w:rPr>
          <w:spacing w:val="5"/>
        </w:rPr>
        <w:t>子交易系统（信创版）的工程建设项目，在实施远程异地评标标</w:t>
      </w:r>
      <w:r>
        <w:rPr>
          <w:spacing w:val="5"/>
        </w:rPr>
        <w:t>准以下的项目，均应采用市域内多点分散评标。支持各交易中心</w:t>
      </w:r>
      <w:r>
        <w:rPr>
          <w:spacing w:val="11"/>
        </w:rPr>
        <w:t>建立跨区域常态化合作机制，探索推进“远程异地评标</w:t>
      </w:r>
      <w:r>
        <w:rPr>
          <w:rFonts w:ascii="SimSun" w:hAnsi="SimSun" w:eastAsia="SimSun" w:cs="SimSun"/>
          <w:spacing w:val="11"/>
        </w:rPr>
        <w:t>+</w:t>
      </w:r>
      <w:r>
        <w:rPr>
          <w:spacing w:val="10"/>
        </w:rPr>
        <w:t>多点分</w:t>
      </w:r>
      <w:r>
        <w:rPr>
          <w:spacing w:val="5"/>
        </w:rPr>
        <w:t>散评标”。</w:t>
      </w:r>
    </w:p>
    <w:p>
      <w:pPr>
        <w:ind w:left="655"/>
        <w:spacing w:before="1" w:line="228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二、保障措施</w:t>
      </w:r>
    </w:p>
    <w:p>
      <w:pPr>
        <w:pStyle w:val="BodyText"/>
        <w:ind w:left="8" w:right="114" w:firstLine="634"/>
        <w:spacing w:before="198" w:line="345" w:lineRule="auto"/>
        <w:jc w:val="both"/>
        <w:rPr/>
      </w:pPr>
      <w:r>
        <w:rPr>
          <w:rFonts w:ascii="KaiTi_GB2312" w:hAnsi="KaiTi_GB2312" w:eastAsia="KaiTi_GB2312" w:cs="KaiTi_GB2312"/>
          <w:spacing w:val="5"/>
        </w:rPr>
        <w:t>（一）建立协作机制。</w:t>
      </w:r>
      <w:r>
        <w:rPr>
          <w:spacing w:val="5"/>
        </w:rPr>
        <w:t>招标人选择进场交易的公共资源交易</w:t>
      </w:r>
      <w:r>
        <w:rPr>
          <w:spacing w:val="5"/>
        </w:rPr>
        <w:t>中心为评标主场，配合主场开展远程异地评标的为评标副场。主</w:t>
      </w:r>
      <w:r>
        <w:rPr>
          <w:spacing w:val="7"/>
        </w:rPr>
        <w:t>场负责提供远程异地评标所需的电子交易系统及</w:t>
      </w:r>
      <w:r>
        <w:rPr>
          <w:spacing w:val="6"/>
        </w:rPr>
        <w:t>专业交易工具，</w:t>
      </w:r>
    </w:p>
    <w:p>
      <w:pPr>
        <w:spacing w:line="345" w:lineRule="auto"/>
        <w:sectPr>
          <w:footerReference w:type="default" r:id="rId5"/>
          <w:pgSz w:w="11906" w:h="16839"/>
          <w:pgMar w:top="400" w:right="1378" w:bottom="1483" w:left="1533" w:header="0" w:footer="1118" w:gutter="0"/>
        </w:sectPr>
        <w:rPr/>
      </w:pP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1"/>
        <w:spacing w:before="100" w:line="345" w:lineRule="auto"/>
        <w:jc w:val="both"/>
        <w:rPr/>
      </w:pPr>
      <w:r>
        <w:rPr>
          <w:spacing w:val="5"/>
        </w:rPr>
        <w:t>通过山东省公共资源交易远程异地评标协调系统选择副场。副场</w:t>
      </w:r>
      <w:r>
        <w:rPr>
          <w:spacing w:val="5"/>
        </w:rPr>
        <w:t>配合主场完成跨省专家抽取、场地工位选取、专家身份验证、项</w:t>
      </w:r>
      <w:r>
        <w:rPr>
          <w:spacing w:val="5"/>
        </w:rPr>
        <w:t>目评标、评标报告签署、资料保存、线索移交等工作。副场发生</w:t>
      </w:r>
      <w:r>
        <w:rPr>
          <w:spacing w:val="5"/>
        </w:rPr>
        <w:t>专家无法参与评标、场所工位异常、系统故障等情况的，要及时</w:t>
      </w:r>
      <w:r>
        <w:rPr>
          <w:spacing w:val="5"/>
        </w:rPr>
        <w:t>通知主场，由招标人通过重新发起专家抽取申请、更改项目评标</w:t>
      </w:r>
      <w:r>
        <w:rPr>
          <w:spacing w:val="8"/>
        </w:rPr>
        <w:t>时间或者再次组织远程异地评标等方式解决。</w:t>
      </w:r>
    </w:p>
    <w:p>
      <w:pPr>
        <w:pStyle w:val="BodyText"/>
        <w:ind w:left="3" w:firstLine="632"/>
        <w:spacing w:before="5" w:line="345" w:lineRule="auto"/>
        <w:rPr/>
      </w:pPr>
      <w:r>
        <w:rPr>
          <w:rFonts w:ascii="KaiTi_GB2312" w:hAnsi="KaiTi_GB2312" w:eastAsia="KaiTi_GB2312" w:cs="KaiTi_GB2312"/>
          <w:spacing w:val="5"/>
        </w:rPr>
        <w:t>（二）优化专家管理。</w:t>
      </w:r>
      <w:r>
        <w:rPr>
          <w:spacing w:val="5"/>
        </w:rPr>
        <w:t>实施远程异地评标的项目所需评标专</w:t>
      </w:r>
      <w:r>
        <w:rPr>
          <w:spacing w:val="4"/>
        </w:rPr>
        <w:t>家由招标人发起申请，其中副场专家人数原则上不少于</w:t>
      </w:r>
      <w:r>
        <w:rPr>
          <w:spacing w:val="-57"/>
        </w:rPr>
        <w:t xml:space="preserve"> </w:t>
      </w:r>
      <w:r>
        <w:rPr>
          <w:rFonts w:ascii="SimSun" w:hAnsi="SimSun" w:eastAsia="SimSun" w:cs="SimSun"/>
          <w:spacing w:val="4"/>
        </w:rPr>
        <w:t>2</w:t>
      </w:r>
      <w:r>
        <w:rPr>
          <w:rFonts w:ascii="SimSun" w:hAnsi="SimSun" w:eastAsia="SimSun" w:cs="SimSun"/>
          <w:spacing w:val="-60"/>
        </w:rPr>
        <w:t xml:space="preserve"> </w:t>
      </w:r>
      <w:r>
        <w:rPr>
          <w:spacing w:val="4"/>
        </w:rPr>
        <w:t>人。采</w:t>
      </w:r>
      <w:r>
        <w:rPr>
          <w:spacing w:val="5"/>
        </w:rPr>
        <w:t>用跨省远程异地评标方式的，分别由主场、副场从各自专家库中</w:t>
      </w:r>
      <w:r>
        <w:rPr>
          <w:spacing w:val="5"/>
        </w:rPr>
        <w:t>随机抽取；采用省域内跨市远程异地评标方式的，由主场从山东</w:t>
      </w:r>
      <w:r>
        <w:rPr>
          <w:spacing w:val="17"/>
        </w:rPr>
        <w:t>省公共资源交易综合评标评审专家库随机抽取主、副场评标专</w:t>
      </w:r>
      <w:r>
        <w:rPr>
          <w:spacing w:val="5"/>
        </w:rPr>
        <w:t>家。主、副场各自负责记录本地评标专家现场履职情况，并按相</w:t>
      </w:r>
      <w:r>
        <w:rPr>
          <w:spacing w:val="8"/>
        </w:rPr>
        <w:t>关规定推送至主副场专家库组建单位进行考核。</w:t>
      </w:r>
    </w:p>
    <w:p>
      <w:pPr>
        <w:pStyle w:val="BodyText"/>
        <w:ind w:left="3" w:firstLine="632"/>
        <w:spacing w:before="6" w:line="345" w:lineRule="auto"/>
        <w:rPr/>
      </w:pPr>
      <w:r>
        <w:rPr>
          <w:rFonts w:ascii="KaiTi_GB2312" w:hAnsi="KaiTi_GB2312" w:eastAsia="KaiTi_GB2312" w:cs="KaiTi_GB2312"/>
          <w:spacing w:val="5"/>
        </w:rPr>
        <w:t>（三）强化现场监管。</w:t>
      </w:r>
      <w:r>
        <w:rPr>
          <w:spacing w:val="5"/>
        </w:rPr>
        <w:t>远程异地评标项目，由主场行政监督</w:t>
      </w:r>
      <w:r>
        <w:rPr>
          <w:spacing w:val="5"/>
        </w:rPr>
        <w:t>部门负责监管，副场发现涉嫌违规违法违纪问题线索的，要及时</w:t>
      </w:r>
      <w:r>
        <w:rPr>
          <w:spacing w:val="5"/>
        </w:rPr>
        <w:t>移交主场，由主场向有关执纪执行机关报告。主、副场交易中心</w:t>
      </w:r>
      <w:r>
        <w:rPr>
          <w:spacing w:val="5"/>
        </w:rPr>
        <w:t>负责维护各自场内交易秩序和见证工作，对违法违规行为进行提</w:t>
      </w:r>
      <w:r>
        <w:rPr>
          <w:spacing w:val="7"/>
        </w:rPr>
        <w:t>醒、劝阻并记录保存。</w:t>
      </w:r>
    </w:p>
    <w:p>
      <w:pPr>
        <w:pStyle w:val="BodyText"/>
        <w:ind w:left="6" w:firstLine="630"/>
        <w:spacing w:before="1" w:line="345" w:lineRule="auto"/>
        <w:rPr/>
      </w:pPr>
      <w:r>
        <w:rPr>
          <w:rFonts w:ascii="KaiTi_GB2312" w:hAnsi="KaiTi_GB2312" w:eastAsia="KaiTi_GB2312" w:cs="KaiTi_GB2312"/>
          <w:spacing w:val="5"/>
        </w:rPr>
        <w:t>（四）加强场所保障。</w:t>
      </w:r>
      <w:r>
        <w:rPr>
          <w:spacing w:val="5"/>
        </w:rPr>
        <w:t>交易中心要加快推进远程异地评标系</w:t>
      </w:r>
      <w:r>
        <w:rPr>
          <w:spacing w:val="12"/>
        </w:rPr>
        <w:t>统对接，在保障全市远程异地评标工位需求的基础上，确</w:t>
      </w:r>
      <w:r>
        <w:rPr>
          <w:spacing w:val="11"/>
        </w:rPr>
        <w:t>定</w:t>
      </w:r>
      <w:r>
        <w:rPr>
          <w:spacing w:val="-32"/>
        </w:rPr>
        <w:t xml:space="preserve"> </w:t>
      </w:r>
      <w:r>
        <w:rPr>
          <w:rFonts w:ascii="SimSun" w:hAnsi="SimSun" w:eastAsia="SimSun" w:cs="SimSun"/>
          <w:spacing w:val="11"/>
        </w:rPr>
        <w:t>10</w:t>
      </w:r>
      <w:r>
        <w:rPr>
          <w:spacing w:val="5"/>
        </w:rPr>
        <w:t>个以上工位纳入全国评标场所工位共享目录。在市交易系统与省</w:t>
      </w:r>
      <w:r>
        <w:rPr>
          <w:spacing w:val="5"/>
        </w:rPr>
        <w:t>远程异地评标协调系统对接前，省域内远程异地评标可选择青岛</w:t>
      </w:r>
      <w:r>
        <w:rPr>
          <w:spacing w:val="5"/>
        </w:rPr>
        <w:t>市、烟台市、日照市作为副场，跨省远程异地评标可选择呼和浩</w:t>
      </w:r>
    </w:p>
    <w:p>
      <w:pPr>
        <w:spacing w:line="345" w:lineRule="auto"/>
        <w:sectPr>
          <w:footerReference w:type="default" r:id="rId6"/>
          <w:pgSz w:w="11906" w:h="16839"/>
          <w:pgMar w:top="400" w:right="1530" w:bottom="1483" w:left="1539" w:header="0" w:footer="1116" w:gutter="0"/>
        </w:sectPr>
        <w:rPr/>
      </w:pP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2" w:right="45" w:hanging="6"/>
        <w:spacing w:before="101" w:line="345" w:lineRule="auto"/>
        <w:rPr/>
      </w:pPr>
      <w:r>
        <w:rPr>
          <w:spacing w:val="5"/>
        </w:rPr>
        <w:t>特市、大连市、伊春市、随州市、连云港市、泰州市、监利县作</w:t>
      </w:r>
      <w:r>
        <w:rPr>
          <w:spacing w:val="8"/>
        </w:rPr>
        <w:t>为副场；系统对接后，可通过省协调系统随机选择副场。</w:t>
      </w:r>
    </w:p>
    <w:p>
      <w:pPr>
        <w:ind w:left="649"/>
        <w:spacing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三、工作要求</w:t>
      </w:r>
    </w:p>
    <w:p>
      <w:pPr>
        <w:pStyle w:val="BodyText"/>
        <w:ind w:right="45" w:firstLine="635"/>
        <w:spacing w:before="202" w:line="345" w:lineRule="auto"/>
        <w:rPr/>
      </w:pPr>
      <w:r>
        <w:rPr>
          <w:rFonts w:ascii="KaiTi_GB2312" w:hAnsi="KaiTi_GB2312" w:eastAsia="KaiTi_GB2312" w:cs="KaiTi_GB2312"/>
          <w:spacing w:val="5"/>
        </w:rPr>
        <w:t>（一）提高思想认识。</w:t>
      </w:r>
      <w:r>
        <w:rPr>
          <w:spacing w:val="5"/>
        </w:rPr>
        <w:t>远程异地评标是推动在更大范围内共</w:t>
      </w:r>
      <w:r>
        <w:rPr>
          <w:spacing w:val="5"/>
        </w:rPr>
        <w:t>享评标专家资源、保障评标环节公平公正性的重要举措。各级各</w:t>
      </w:r>
      <w:r>
        <w:rPr>
          <w:spacing w:val="17"/>
        </w:rPr>
        <w:t>部门要充分认识远程异地评标对推动招标投标市场规范健康发</w:t>
      </w:r>
      <w:r>
        <w:rPr>
          <w:spacing w:val="5"/>
        </w:rPr>
        <w:t>展的重要意义，加强协同配合和监督管理，确保全市远程异地评</w:t>
      </w:r>
      <w:r>
        <w:rPr>
          <w:spacing w:val="7"/>
        </w:rPr>
        <w:t>标工作常态化运行。</w:t>
      </w:r>
    </w:p>
    <w:p>
      <w:pPr>
        <w:pStyle w:val="BodyText"/>
        <w:ind w:left="6" w:right="45" w:firstLine="629"/>
        <w:spacing w:line="345" w:lineRule="auto"/>
        <w:rPr/>
      </w:pPr>
      <w:r>
        <w:rPr>
          <w:rFonts w:ascii="KaiTi_GB2312" w:hAnsi="KaiTi_GB2312" w:eastAsia="KaiTi_GB2312" w:cs="KaiTi_GB2312"/>
          <w:spacing w:val="5"/>
        </w:rPr>
        <w:t>（二）加强系统保障。</w:t>
      </w:r>
      <w:r>
        <w:rPr>
          <w:spacing w:val="5"/>
        </w:rPr>
        <w:t>各交易中心要按照有关技术标准，加</w:t>
      </w:r>
      <w:r>
        <w:rPr>
          <w:spacing w:val="5"/>
        </w:rPr>
        <w:t>快优化电子交易系统功能，升级改造评标工位设施，健全适应远</w:t>
      </w:r>
      <w:r>
        <w:rPr>
          <w:spacing w:val="5"/>
        </w:rPr>
        <w:t>程异地评标的安全防护措施，并通过签署协议、备忘录等方式加</w:t>
      </w:r>
      <w:r>
        <w:rPr>
          <w:spacing w:val="8"/>
        </w:rPr>
        <w:t>强跨区域合作，有效保障远程异地评标的开展。</w:t>
      </w:r>
    </w:p>
    <w:p>
      <w:pPr>
        <w:pStyle w:val="BodyText"/>
        <w:ind w:left="2" w:firstLine="632"/>
        <w:spacing w:before="6" w:line="345" w:lineRule="auto"/>
        <w:rPr/>
      </w:pPr>
      <w:r>
        <w:rPr>
          <w:rFonts w:ascii="KaiTi_GB2312" w:hAnsi="KaiTi_GB2312" w:eastAsia="KaiTi_GB2312" w:cs="KaiTi_GB2312"/>
          <w:spacing w:val="5"/>
        </w:rPr>
        <w:t>（三）强化宣传培训。</w:t>
      </w:r>
      <w:r>
        <w:rPr>
          <w:spacing w:val="5"/>
        </w:rPr>
        <w:t>各级各部门要通过公告、专栏等形式</w:t>
      </w:r>
      <w:r>
        <w:rPr>
          <w:spacing w:val="7"/>
        </w:rPr>
        <w:t>向经营主体宣传推介远程异地评标，加强宣传引导和舆情应对。</w:t>
      </w:r>
      <w:r>
        <w:rPr>
          <w:spacing w:val="5"/>
        </w:rPr>
        <w:t>交易中心要及时做好招标人、代理机构、评标专家、交易中心工</w:t>
      </w:r>
      <w:r>
        <w:rPr>
          <w:spacing w:val="17"/>
        </w:rPr>
        <w:t>作人员等参与主体的业务培训工作，确保远程异地评标顺畅运</w:t>
      </w:r>
      <w:r>
        <w:rPr>
          <w:spacing w:val="-2"/>
        </w:rPr>
        <w:t>行。</w:t>
      </w:r>
    </w:p>
    <w:p>
      <w:pPr>
        <w:pStyle w:val="BodyText"/>
        <w:ind w:left="643"/>
        <w:spacing w:before="1" w:line="219" w:lineRule="auto"/>
        <w:rPr/>
      </w:pPr>
      <w:r>
        <w:rPr>
          <w:spacing w:val="7"/>
        </w:rPr>
        <w:t>本通知自印发之日起施行。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645"/>
        <w:spacing w:before="102" w:line="219" w:lineRule="auto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795357</wp:posOffset>
            </wp:positionH>
            <wp:positionV relativeFrom="paragraph">
              <wp:posOffset>-624046</wp:posOffset>
            </wp:positionV>
            <wp:extent cx="1440180" cy="1551432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40180" cy="1551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3697053</wp:posOffset>
            </wp:positionH>
            <wp:positionV relativeFrom="paragraph">
              <wp:posOffset>-613378</wp:posOffset>
            </wp:positionV>
            <wp:extent cx="1511808" cy="1527047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1808" cy="1527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</w:rPr>
        <w:t>威海市发展和改革委员会</w:t>
      </w:r>
      <w:r>
        <w:rPr>
          <w:spacing w:val="8"/>
        </w:rPr>
        <w:t xml:space="preserve">        </w:t>
      </w:r>
      <w:r>
        <w:rPr>
          <w:spacing w:val="8"/>
        </w:rPr>
        <w:t>威海市工业和信息化局</w:t>
      </w:r>
    </w:p>
    <w:p>
      <w:pPr>
        <w:spacing w:line="219" w:lineRule="auto"/>
        <w:sectPr>
          <w:footerReference w:type="default" r:id="rId7"/>
          <w:pgSz w:w="11906" w:h="16839"/>
          <w:pgMar w:top="400" w:right="1485" w:bottom="1483" w:left="1541" w:header="0" w:footer="1118" w:gutter="0"/>
        </w:sectPr>
        <w:rPr/>
      </w:pPr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ectPr>
          <w:footerReference w:type="default" r:id="rId10"/>
          <w:pgSz w:w="11906" w:h="16839"/>
          <w:pgMar w:top="400" w:right="1531" w:bottom="1483" w:left="1539" w:header="0" w:footer="1118" w:gutter="0"/>
          <w:cols w:equalWidth="0" w:num="1">
            <w:col w:w="8836" w:space="0"/>
          </w:cols>
        </w:sectPr>
        <w:rPr/>
      </w:pPr>
    </w:p>
    <w:p>
      <w:pPr>
        <w:pStyle w:val="BodyText"/>
        <w:ind w:left="325"/>
        <w:spacing w:before="62" w:line="220" w:lineRule="auto"/>
        <w:rPr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474541</wp:posOffset>
            </wp:positionH>
            <wp:positionV relativeFrom="paragraph">
              <wp:posOffset>-688239</wp:posOffset>
            </wp:positionV>
            <wp:extent cx="1659636" cy="1562100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59636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</w:rPr>
        <w:t>威海市自然资源和规划局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325"/>
        <w:spacing w:before="101" w:line="219" w:lineRule="auto"/>
        <w:rPr/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533977</wp:posOffset>
            </wp:positionH>
            <wp:positionV relativeFrom="paragraph">
              <wp:posOffset>-672998</wp:posOffset>
            </wp:positionV>
            <wp:extent cx="1548383" cy="1620011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8383" cy="1620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</w:rPr>
        <w:t>威海市住房和城乡建设局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966"/>
        <w:spacing w:before="100" w:line="219" w:lineRule="auto"/>
        <w:rPr/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410533</wp:posOffset>
            </wp:positionH>
            <wp:positionV relativeFrom="paragraph">
              <wp:posOffset>-638110</wp:posOffset>
            </wp:positionV>
            <wp:extent cx="1601724" cy="1591055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01724" cy="1591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</w:rPr>
        <w:t>威海市水务局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644"/>
        <w:spacing w:before="102" w:line="219" w:lineRule="auto"/>
        <w:rPr/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434917</wp:posOffset>
            </wp:positionH>
            <wp:positionV relativeFrom="paragraph">
              <wp:posOffset>-637750</wp:posOffset>
            </wp:positionV>
            <wp:extent cx="1548384" cy="1551432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8384" cy="1551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</w:rPr>
        <w:t>威海市海洋发展局</w:t>
      </w:r>
    </w:p>
    <w:p>
      <w:pPr>
        <w:spacing w:before="23"/>
        <w:rPr/>
      </w:pPr>
      <w:r/>
    </w:p>
    <w:p>
      <w:pPr>
        <w:spacing w:before="23"/>
        <w:rPr/>
      </w:pPr>
      <w:r/>
    </w:p>
    <w:p>
      <w:pPr>
        <w:spacing w:before="23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32"/>
        <w:spacing w:before="62" w:line="218" w:lineRule="auto"/>
        <w:rPr/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123067</wp:posOffset>
            </wp:positionH>
            <wp:positionV relativeFrom="paragraph">
              <wp:posOffset>-668708</wp:posOffset>
            </wp:positionV>
            <wp:extent cx="1551432" cy="1569719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1432" cy="1569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</w:rPr>
        <w:t>威海市生态环境局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32"/>
        <w:spacing w:before="101" w:line="220" w:lineRule="auto"/>
        <w:rPr/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147451</wp:posOffset>
            </wp:positionH>
            <wp:positionV relativeFrom="paragraph">
              <wp:posOffset>-610551</wp:posOffset>
            </wp:positionV>
            <wp:extent cx="1551432" cy="1514856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1432" cy="1514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</w:rPr>
        <w:t>威海市交通运输局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32"/>
        <w:spacing w:before="100" w:line="219" w:lineRule="auto"/>
        <w:rPr/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121542</wp:posOffset>
            </wp:positionH>
            <wp:positionV relativeFrom="paragraph">
              <wp:posOffset>-653480</wp:posOffset>
            </wp:positionV>
            <wp:extent cx="1548384" cy="1559052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8384" cy="1559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</w:rPr>
        <w:t>威海市农业农村局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615" w:hanging="616"/>
        <w:spacing w:before="100" w:line="345" w:lineRule="auto"/>
        <w:rPr/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350142</wp:posOffset>
            </wp:positionH>
            <wp:positionV relativeFrom="paragraph">
              <wp:posOffset>-511637</wp:posOffset>
            </wp:positionV>
            <wp:extent cx="1490472" cy="1559052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0472" cy="1559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</w:rPr>
        <w:t>威海市人民政府国有资产</w:t>
      </w:r>
      <w:r>
        <w:rPr>
          <w:spacing w:val="6"/>
        </w:rPr>
        <w:t>监督管理委员会</w:t>
      </w:r>
    </w:p>
    <w:p>
      <w:pPr>
        <w:spacing w:line="345" w:lineRule="auto"/>
        <w:sectPr>
          <w:type w:val="continuous"/>
          <w:pgSz w:w="11906" w:h="16839"/>
          <w:pgMar w:top="400" w:right="1531" w:bottom="1483" w:left="1539" w:header="0" w:footer="1118" w:gutter="0"/>
          <w:cols w:equalWidth="0" w:num="2">
            <w:col w:w="5216" w:space="100"/>
            <w:col w:w="3520" w:space="0"/>
          </w:cols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325"/>
        <w:spacing w:before="102" w:line="220" w:lineRule="auto"/>
        <w:rPr/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375481</wp:posOffset>
            </wp:positionH>
            <wp:positionV relativeFrom="paragraph">
              <wp:posOffset>-643870</wp:posOffset>
            </wp:positionV>
            <wp:extent cx="1540764" cy="1540764"/>
            <wp:effectExtent l="0" t="0" r="0" b="0"/>
            <wp:wrapNone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0764" cy="1540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1" locked="0" layoutInCell="1" allowOverlap="1">
            <wp:simplePos x="0" y="0"/>
            <wp:positionH relativeFrom="column">
              <wp:posOffset>3708468</wp:posOffset>
            </wp:positionH>
            <wp:positionV relativeFrom="paragraph">
              <wp:posOffset>-549381</wp:posOffset>
            </wp:positionV>
            <wp:extent cx="1557528" cy="1626107"/>
            <wp:effectExtent l="0" t="0" r="0" b="0"/>
            <wp:wrapNone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7528" cy="1626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</w:rPr>
        <w:t>威海市国防动员办公室</w:t>
      </w:r>
      <w:r>
        <w:rPr>
          <w:spacing w:val="7"/>
        </w:rPr>
        <w:t xml:space="preserve">               </w:t>
      </w:r>
      <w:r>
        <w:rPr>
          <w:spacing w:val="7"/>
        </w:rPr>
        <w:t>威海市信息通信</w:t>
      </w:r>
    </w:p>
    <w:p>
      <w:pPr>
        <w:pStyle w:val="BodyText"/>
        <w:ind w:left="6243"/>
        <w:spacing w:before="209" w:line="220" w:lineRule="auto"/>
        <w:rPr/>
      </w:pPr>
      <w:r>
        <w:rPr>
          <w:spacing w:val="7"/>
        </w:rPr>
        <w:t>发展办公室</w:t>
      </w:r>
    </w:p>
    <w:p>
      <w:pPr>
        <w:pStyle w:val="BodyText"/>
        <w:ind w:left="5928"/>
        <w:spacing w:before="210" w:line="190" w:lineRule="auto"/>
        <w:rPr/>
      </w:pPr>
      <w:r>
        <w:rPr>
          <w:rFonts w:ascii="SimSun" w:hAnsi="SimSun" w:eastAsia="SimSun" w:cs="SimSun"/>
          <w:spacing w:val="-6"/>
        </w:rPr>
        <w:t>2026</w:t>
      </w:r>
      <w:r>
        <w:rPr>
          <w:rFonts w:ascii="SimSun" w:hAnsi="SimSun" w:eastAsia="SimSun" w:cs="SimSun"/>
          <w:spacing w:val="-59"/>
        </w:rPr>
        <w:t xml:space="preserve"> </w:t>
      </w:r>
      <w:r>
        <w:rPr>
          <w:spacing w:val="-6"/>
        </w:rPr>
        <w:t>年</w:t>
      </w:r>
      <w:r>
        <w:rPr>
          <w:spacing w:val="-57"/>
        </w:rPr>
        <w:t xml:space="preserve"> </w:t>
      </w:r>
      <w:r>
        <w:rPr>
          <w:rFonts w:ascii="SimSun" w:hAnsi="SimSun" w:eastAsia="SimSun" w:cs="SimSun"/>
          <w:spacing w:val="-6"/>
        </w:rPr>
        <w:t>5</w:t>
      </w:r>
      <w:r>
        <w:rPr>
          <w:rFonts w:ascii="SimSun" w:hAnsi="SimSun" w:eastAsia="SimSun" w:cs="SimSun"/>
          <w:spacing w:val="-46"/>
        </w:rPr>
        <w:t xml:space="preserve"> </w:t>
      </w:r>
      <w:r>
        <w:rPr>
          <w:spacing w:val="-6"/>
        </w:rPr>
        <w:t>月</w:t>
      </w:r>
      <w:r>
        <w:rPr>
          <w:spacing w:val="-37"/>
        </w:rPr>
        <w:t xml:space="preserve"> </w:t>
      </w:r>
      <w:r>
        <w:rPr>
          <w:rFonts w:ascii="SimSun" w:hAnsi="SimSun" w:eastAsia="SimSun" w:cs="SimSun"/>
          <w:spacing w:val="-6"/>
        </w:rPr>
        <w:t>15 </w:t>
      </w:r>
      <w:r>
        <w:rPr>
          <w:spacing w:val="-6"/>
        </w:rPr>
        <w:t>日</w:t>
      </w:r>
    </w:p>
    <w:p>
      <w:pPr>
        <w:spacing w:line="190" w:lineRule="auto"/>
        <w:sectPr>
          <w:type w:val="continuous"/>
          <w:pgSz w:w="11906" w:h="16839"/>
          <w:pgMar w:top="400" w:right="1531" w:bottom="1483" w:left="1539" w:header="0" w:footer="1118" w:gutter="0"/>
          <w:cols w:equalWidth="0" w:num="1">
            <w:col w:w="8836" w:space="0"/>
          </w:cols>
        </w:sectPr>
        <w:rPr/>
      </w:pPr>
    </w:p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6" w:h="16839"/>
          <w:pgMar w:top="0" w:right="0" w:bottom="0" w:left="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256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"/>
        </w:rPr>
        <w:t>政府信息公开选项：主动公开</w:t>
      </w:r>
    </w:p>
    <w:p>
      <w:pPr>
        <w:spacing w:line="148" w:lineRule="exact"/>
        <w:rPr/>
      </w:pPr>
      <w:r/>
    </w:p>
    <w:tbl>
      <w:tblPr>
        <w:tblStyle w:val="TableNormal"/>
        <w:tblW w:w="9059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5094"/>
        <w:gridCol w:w="3965"/>
      </w:tblGrid>
      <w:tr>
        <w:trPr>
          <w:trHeight w:val="663" w:hRule="atLeast"/>
        </w:trPr>
        <w:tc>
          <w:tcPr>
            <w:tcW w:w="50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213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"/>
              </w:rPr>
              <w:t>威海市发展和改革委员会办公室</w:t>
            </w:r>
          </w:p>
        </w:tc>
        <w:tc>
          <w:tcPr>
            <w:tcW w:w="396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7"/>
              <w:spacing w:before="211" w:line="216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3"/>
              </w:rPr>
              <w:t>2026</w:t>
            </w:r>
            <w:r>
              <w:rPr>
                <w:rFonts w:ascii="SimSun" w:hAnsi="SimSun" w:eastAsia="SimSun" w:cs="SimSun"/>
                <w:sz w:val="28"/>
                <w:szCs w:val="28"/>
                <w:spacing w:val="-5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3"/>
              </w:rPr>
              <w:t>年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54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13"/>
              </w:rPr>
              <w:t>5</w:t>
            </w:r>
            <w:r>
              <w:rPr>
                <w:rFonts w:ascii="SimSun" w:hAnsi="SimSun" w:eastAsia="SimSun" w:cs="SimSun"/>
                <w:sz w:val="28"/>
                <w:szCs w:val="28"/>
                <w:spacing w:val="-46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3"/>
              </w:rPr>
              <w:t>月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39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13"/>
              </w:rPr>
              <w:t>15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3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400" w:right="1423" w:bottom="400" w:left="142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"/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0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15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3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4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7"/>
      <w:spacing w:line="233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15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5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2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6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image" Target="media/image1.png"/><Relationship Id="rId23" Type="http://schemas.openxmlformats.org/officeDocument/2006/relationships/fontTable" Target="fontTable.xml"/><Relationship Id="rId22" Type="http://schemas.openxmlformats.org/officeDocument/2006/relationships/styles" Target="styles.xml"/><Relationship Id="rId21" Type="http://schemas.openxmlformats.org/officeDocument/2006/relationships/settings" Target="settings.xml"/><Relationship Id="rId20" Type="http://schemas.openxmlformats.org/officeDocument/2006/relationships/image" Target="media/image13.jpeg"/><Relationship Id="rId2" Type="http://schemas.openxmlformats.org/officeDocument/2006/relationships/footer" Target="footer1.xml"/><Relationship Id="rId19" Type="http://schemas.openxmlformats.org/officeDocument/2006/relationships/image" Target="media/image12.jpeg"/><Relationship Id="rId18" Type="http://schemas.openxmlformats.org/officeDocument/2006/relationships/image" Target="media/image11.jpeg"/><Relationship Id="rId17" Type="http://schemas.openxmlformats.org/officeDocument/2006/relationships/image" Target="media/image10.jpeg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footer" Target="footer6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2026-05-18T16:28:20Z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2026-05-21T14:06:32</vt:filetime>
  </property>
</Properties>
</file>