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慢病管理系统采购</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SDGP371083000202602000022</w:t>
      </w:r>
    </w:p>
    <w:p>
      <w:pPr>
        <w:pStyle w:val="null5"/>
        <w:jc w:val="left"/>
        <w:outlineLvl w:val="2"/>
      </w:pPr>
      <w:r>
        <w:rPr>
          <w:rFonts w:ascii="仿宋_GB2312" w:hAnsi="仿宋_GB2312" w:cs="仿宋_GB2312" w:eastAsia="仿宋_GB2312"/>
          <w:sz w:val="28"/>
          <w:b/>
        </w:rPr>
        <w:t>乳山市人民医院</w:t>
      </w:r>
    </w:p>
    <w:p>
      <w:pPr>
        <w:pStyle w:val="null5"/>
        <w:jc w:val="center"/>
        <w:outlineLvl w:val="2"/>
      </w:pPr>
      <w:r>
        <w:rPr>
          <w:rFonts w:ascii="仿宋_GB2312" w:hAnsi="仿宋_GB2312" w:cs="仿宋_GB2312" w:eastAsia="仿宋_GB2312"/>
          <w:sz w:val="28"/>
          <w:b/>
        </w:rPr>
        <w:t>乳山宏大工程咨询有限公司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乳山宏大工程咨询有限公司</w:t>
      </w:r>
      <w:r>
        <w:rPr>
          <w:rFonts w:ascii="仿宋_GB2312" w:hAnsi="仿宋_GB2312" w:cs="仿宋_GB2312" w:eastAsia="仿宋_GB2312"/>
        </w:rPr>
        <w:t xml:space="preserve"> （以下简称“代理机构 ”）受 </w:t>
      </w:r>
      <w:r>
        <w:rPr>
          <w:rFonts w:ascii="仿宋_GB2312" w:hAnsi="仿宋_GB2312" w:cs="仿宋_GB2312" w:eastAsia="仿宋_GB2312"/>
        </w:rPr>
        <w:t>乳山市人民医院</w:t>
      </w:r>
      <w:r>
        <w:rPr>
          <w:rFonts w:ascii="仿宋_GB2312" w:hAnsi="仿宋_GB2312" w:cs="仿宋_GB2312" w:eastAsia="仿宋_GB2312"/>
        </w:rPr>
        <w:t xml:space="preserve"> （ 以下简称“采购人 ”）委托， 拟对 </w:t>
      </w:r>
      <w:r>
        <w:rPr>
          <w:rFonts w:ascii="仿宋_GB2312" w:hAnsi="仿宋_GB2312" w:cs="仿宋_GB2312" w:eastAsia="仿宋_GB2312"/>
        </w:rPr>
        <w:t>慢病管理系统采购</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威海市乳山市</w:t>
      </w:r>
      <w:r>
        <w:rPr>
          <w:rFonts w:ascii="仿宋_GB2312" w:hAnsi="仿宋_GB2312" w:cs="仿宋_GB2312" w:eastAsia="仿宋_GB2312"/>
        </w:rPr>
        <w:t xml:space="preserve"> 政府采购项目， 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SDGP371083000202602000022</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慢病管理系统采购</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乳山市人民医院采购慢病管理系统</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 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 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 、供应商参与本项目电子化采购活动的范围主要包括：获取磋商文件， 编制、签章、加密并提交响应文件， 参加开启、解密响应文件和电子评审等。</w:t>
      </w:r>
    </w:p>
    <w:p>
      <w:pPr>
        <w:pStyle w:val="null5"/>
        <w:ind w:firstLine="480"/>
        <w:jc w:val="left"/>
      </w:pPr>
      <w:r>
        <w:rPr>
          <w:rFonts w:ascii="仿宋_GB2312" w:hAnsi="仿宋_GB2312" w:cs="仿宋_GB2312" w:eastAsia="仿宋_GB2312"/>
        </w:rPr>
        <w:t>二 、供应商应当使用数字证书互认范围的数字证书和电子印章， 参加本项目电子化采购活动； 已按规定办理数字证书和电子印章的 供应商， 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 确保在参加采购活动期间能够正常使用， 严格授权管理，防止非授权操作。</w:t>
      </w:r>
    </w:p>
    <w:p>
      <w:pPr>
        <w:pStyle w:val="null5"/>
        <w:ind w:firstLine="480"/>
        <w:jc w:val="left"/>
      </w:pPr>
      <w:r>
        <w:rPr>
          <w:rFonts w:ascii="仿宋_GB2312" w:hAnsi="仿宋_GB2312" w:cs="仿宋_GB2312" w:eastAsia="仿宋_GB2312"/>
        </w:rPr>
        <w:t>三 、供应商应当自行准备电子化采购所需的计算机终端、软硬件及网络环境，承担因准备不足产生的不利后果。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 、方式及地址</w:t>
      </w:r>
    </w:p>
    <w:p>
      <w:pPr>
        <w:pStyle w:val="null5"/>
        <w:ind w:firstLine="480"/>
        <w:jc w:val="both"/>
      </w:pPr>
      <w:r>
        <w:rPr>
          <w:rFonts w:ascii="仿宋_GB2312" w:hAnsi="仿宋_GB2312" w:cs="仿宋_GB2312" w:eastAsia="仿宋_GB2312"/>
        </w:rPr>
        <w:t>一 、采购人或者代理机构应当在磋商文件获取时间开始前， 将本项目电子磋商文件上传至交易系统， 向供应商免费提供， 供应商通过交易系统获取磋商文件。供应商成功获取磋商文件后，将收到已获取磋商文件的回执单。未按规定获取磋商文件的供应商， 不得参与本次采购活动，不得对磋商文件提起质疑。</w:t>
      </w:r>
    </w:p>
    <w:p>
      <w:pPr>
        <w:pStyle w:val="null5"/>
        <w:ind w:firstLine="480"/>
        <w:jc w:val="left"/>
      </w:pPr>
      <w:r>
        <w:rPr>
          <w:rFonts w:ascii="仿宋_GB2312" w:hAnsi="仿宋_GB2312" w:cs="仿宋_GB2312" w:eastAsia="仿宋_GB2312"/>
        </w:rPr>
        <w:t>注： 获取的磋商文件由正文和附件组成，正文部分包括 pdf、word 两种格式版本，如内容有不一致的，以 pdf 格式内容为准。</w:t>
      </w:r>
    </w:p>
    <w:p>
      <w:pPr>
        <w:pStyle w:val="null5"/>
        <w:ind w:firstLine="480"/>
        <w:jc w:val="left"/>
        <w:outlineLvl w:val="2"/>
      </w:pPr>
      <w:r>
        <w:rPr>
          <w:rFonts w:ascii="仿宋_GB2312" w:hAnsi="仿宋_GB2312" w:cs="仿宋_GB2312" w:eastAsia="仿宋_GB2312"/>
          <w:sz w:val="28"/>
          <w:b/>
        </w:rPr>
        <w:t>1.8.提交响应文件截止时间及开启时间 、方式 、地点</w:t>
      </w:r>
    </w:p>
    <w:p>
      <w:pPr>
        <w:pStyle w:val="null5"/>
        <w:ind w:firstLine="480"/>
        <w:jc w:val="left"/>
      </w:pPr>
      <w:r>
        <w:rPr>
          <w:rFonts w:ascii="仿宋_GB2312" w:hAnsi="仿宋_GB2312" w:cs="仿宋_GB2312" w:eastAsia="仿宋_GB2312"/>
        </w:rPr>
        <w:t>一 、提交响应文件截止时间及开启时间：详见采购公告。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 、本项目采取网上开启，采购人或者代理机构通过交易系统 “开标/开启大厅 ”组织在线开启。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乳山市人民医院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新华街与杭州路交叉东南260米（桥东庄村南）</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常峻巍</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0631-6619708</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乳山宏大工程咨询有限公司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乳山市世纪大道260号北楼二楼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柯耀辉</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0631-6675889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 、两个以上供应商可以组成一个联合体， 以一个供应商的身份参加采购活动。联合体应当确定其中一方为本次采购活动的牵头单位，代表联合体处理参加采购活动的一切事务 。 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 、参加联合体的供应商均应当具备政府采购法第二十二条规定的条件， 并应当向采购人提交联合协议，载明联合体各方承担的工作和义务。 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 、联合体各方应当共同与采购人签订采购合同， 就采购合同约定的事 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 ★</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 ★</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 ★</w:t>
            </w:r>
          </w:p>
        </w:tc>
        <w:tc>
          <w:tcPr>
            <w:tcW w:type="dxa" w:w="5814"/>
          </w:tcPr>
          <w:p>
            <w:pPr>
              <w:pStyle w:val="null5"/>
              <w:jc w:val="left"/>
            </w:pPr>
            <w:r>
              <w:rPr>
                <w:rFonts w:ascii="仿宋_GB2312" w:hAnsi="仿宋_GB2312" w:cs="仿宋_GB2312" w:eastAsia="仿宋_GB2312"/>
              </w:rPr>
              <w:t>开标之日起90天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 ★</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代理服务费收费标准：参照“发改价格[2011]534号”规定的收费标准向成交供应商收取代理服务费。人民币5850.00元，由成交单位在签订合同前向采购代理机构缴纳。</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 、交易系统发生故障（包括感染病毒、应用或数据库出错）而无法正常使用的；</w:t>
            </w:r>
          </w:p>
          <w:p>
            <w:pPr>
              <w:pStyle w:val="null5"/>
              <w:jc w:val="left"/>
            </w:pPr>
            <w:r>
              <w:rPr>
                <w:rFonts w:ascii="仿宋_GB2312" w:hAnsi="仿宋_GB2312" w:cs="仿宋_GB2312" w:eastAsia="仿宋_GB2312"/>
              </w:rPr>
              <w:t xml:space="preserve"> 二 、 因组织场所停电、断网等原因，导致采购活动无法继续通过交易系统实施的；</w:t>
            </w:r>
          </w:p>
          <w:p>
            <w:pPr>
              <w:pStyle w:val="null5"/>
              <w:jc w:val="left"/>
            </w:pPr>
            <w:r>
              <w:rPr>
                <w:rFonts w:ascii="仿宋_GB2312" w:hAnsi="仿宋_GB2312" w:cs="仿宋_GB2312" w:eastAsia="仿宋_GB2312"/>
              </w:rPr>
              <w:t xml:space="preserve"> 三 、其他无法保证电子化交易的公平、公正和安全的情况。</w:t>
            </w:r>
          </w:p>
          <w:p>
            <w:pPr>
              <w:pStyle w:val="null5"/>
              <w:jc w:val="left"/>
            </w:pPr>
            <w:r>
              <w:rPr>
                <w:rFonts w:ascii="仿宋_GB2312" w:hAnsi="仿宋_GB2312" w:cs="仿宋_GB2312" w:eastAsia="仿宋_GB2312"/>
              </w:rPr>
              <w:t xml:space="preserve"> 出现上述的情形， 不影响采购公平、公正的， 采购人或者代理机构可以待上述情形消除后继续组织采购活动； 影响或者可能影响采购公平、公正的 , 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1.平台系统故障认定以山东政府采购网发布的系统运维通知内容为 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 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实质性要求</w:t>
            </w:r>
          </w:p>
        </w:tc>
        <w:tc>
          <w:tcPr>
            <w:tcW w:type="dxa" w:w="5814"/>
          </w:tcPr>
          <w:p>
            <w:pPr>
              <w:pStyle w:val="null5"/>
              <w:jc w:val="left"/>
            </w:pPr>
            <w:r>
              <w:rPr>
                <w:rFonts w:ascii="仿宋_GB2312" w:hAnsi="仿宋_GB2312" w:cs="仿宋_GB2312" w:eastAsia="仿宋_GB2312"/>
              </w:rPr>
              <w:t>本磋商文件中“ ★ ”要求为实质性要求。供应商应当按照第五章评审程序</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 以上 ” 、“ 以下 ”、“ 内 ”、“ 以内 ” 、“不少于 ” 包括本数； 所称的“不足 ” 、“低于 ”、“超过 ”不包括本数。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 、本磋商文件仅适用于本次竞争性磋商采购项目。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乳山市人民医院</w:t>
      </w:r>
      <w:r>
        <w:rPr>
          <w:rFonts w:ascii="仿宋_GB2312" w:hAnsi="仿宋_GB2312" w:cs="仿宋_GB2312" w:eastAsia="仿宋_GB2312"/>
        </w:rPr>
        <w:t xml:space="preserve"> 和 </w:t>
      </w:r>
      <w:r>
        <w:rPr>
          <w:rFonts w:ascii="仿宋_GB2312" w:hAnsi="仿宋_GB2312" w:cs="仿宋_GB2312" w:eastAsia="仿宋_GB2312"/>
        </w:rPr>
        <w:t>乳山宏大工程咨询有限公司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乳山市人民医院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乳山宏大工程咨询有限公司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 网上开启 ”是指代理机构通过交易系统在线组织响应文件解密，供应商通过交易系统在线解密响应文件等活动。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 、“ 电子评审 ”是指磋商小组开展资格审查、符合性审查、 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 、竞争性磋商邀请；</w:t>
      </w:r>
    </w:p>
    <w:p>
      <w:pPr>
        <w:pStyle w:val="null5"/>
        <w:ind w:firstLine="480"/>
        <w:jc w:val="left"/>
      </w:pPr>
      <w:r>
        <w:rPr>
          <w:rFonts w:ascii="仿宋_GB2312" w:hAnsi="仿宋_GB2312" w:cs="仿宋_GB2312" w:eastAsia="仿宋_GB2312"/>
        </w:rPr>
        <w:t>二 、供应商须知；</w:t>
      </w:r>
    </w:p>
    <w:p>
      <w:pPr>
        <w:pStyle w:val="null5"/>
        <w:ind w:firstLine="480"/>
        <w:jc w:val="left"/>
      </w:pPr>
      <w:r>
        <w:rPr>
          <w:rFonts w:ascii="仿宋_GB2312" w:hAnsi="仿宋_GB2312" w:cs="仿宋_GB2312" w:eastAsia="仿宋_GB2312"/>
        </w:rPr>
        <w:t>三 、技术、服务及其他要求；</w:t>
      </w:r>
    </w:p>
    <w:p>
      <w:pPr>
        <w:pStyle w:val="null5"/>
        <w:ind w:firstLine="480"/>
        <w:jc w:val="left"/>
      </w:pPr>
      <w:r>
        <w:rPr>
          <w:rFonts w:ascii="仿宋_GB2312" w:hAnsi="仿宋_GB2312" w:cs="仿宋_GB2312" w:eastAsia="仿宋_GB2312"/>
        </w:rPr>
        <w:t>四 、磋商过程中可实质性变动的内容；</w:t>
      </w:r>
    </w:p>
    <w:p>
      <w:pPr>
        <w:pStyle w:val="null5"/>
        <w:ind w:firstLine="480"/>
        <w:jc w:val="left"/>
      </w:pPr>
      <w:r>
        <w:rPr>
          <w:rFonts w:ascii="仿宋_GB2312" w:hAnsi="仿宋_GB2312" w:cs="仿宋_GB2312" w:eastAsia="仿宋_GB2312"/>
        </w:rPr>
        <w:t>五 、评审办法；</w:t>
      </w:r>
    </w:p>
    <w:p>
      <w:pPr>
        <w:pStyle w:val="null5"/>
        <w:ind w:firstLine="480"/>
        <w:jc w:val="left"/>
      </w:pPr>
      <w:r>
        <w:rPr>
          <w:rFonts w:ascii="仿宋_GB2312" w:hAnsi="仿宋_GB2312" w:cs="仿宋_GB2312" w:eastAsia="仿宋_GB2312"/>
        </w:rPr>
        <w:t>六 、响应文件格式；</w:t>
      </w:r>
    </w:p>
    <w:p>
      <w:pPr>
        <w:pStyle w:val="null5"/>
        <w:ind w:firstLine="480"/>
        <w:jc w:val="left"/>
      </w:pPr>
      <w:r>
        <w:rPr>
          <w:rFonts w:ascii="仿宋_GB2312" w:hAnsi="仿宋_GB2312" w:cs="仿宋_GB2312" w:eastAsia="仿宋_GB2312"/>
        </w:rPr>
        <w:t>七 、拟签订采购合同文本。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 、提交首次响应文件截止之日前，采购人或者代理机构可以对已发出的磋商文件进行必要的澄清或者修改。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 、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 供应商的法定代表人为外籍人士的，法定代表人的签字和护照；</w:t>
      </w:r>
    </w:p>
    <w:p>
      <w:pPr>
        <w:pStyle w:val="null5"/>
        <w:ind w:firstLine="480"/>
        <w:jc w:val="left"/>
      </w:pPr>
      <w:r>
        <w:rPr>
          <w:rFonts w:ascii="仿宋_GB2312" w:hAnsi="仿宋_GB2312" w:cs="仿宋_GB2312" w:eastAsia="仿宋_GB2312"/>
        </w:rPr>
        <w:t>（二） 对于如生产厂家授权书、原厂技术证明资料及一些行业标准、国家标准、国际标准或者行业认证等需要以非中文表述且不 宜翻译为中文的。</w:t>
      </w:r>
    </w:p>
    <w:p>
      <w:pPr>
        <w:pStyle w:val="null5"/>
        <w:ind w:firstLine="480"/>
        <w:jc w:val="left"/>
      </w:pPr>
      <w:r>
        <w:rPr>
          <w:rFonts w:ascii="仿宋_GB2312" w:hAnsi="仿宋_GB2312" w:cs="仿宋_GB2312" w:eastAsia="仿宋_GB2312"/>
        </w:rPr>
        <w:t>二 、翻译的中文资料与外文资料如果出现差异和矛盾，以中文为准。涉嫌提供虚假材料的按照相关法律法规处理。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 、如因未翻译而造成对供应商的不利后果，由供应商承担。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 、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 。采购 人享有本项目实施过程中产生的知识成果及知识产权。</w:t>
      </w:r>
    </w:p>
    <w:p>
      <w:pPr>
        <w:pStyle w:val="null5"/>
        <w:ind w:firstLine="480"/>
        <w:jc w:val="left"/>
      </w:pPr>
      <w:r>
        <w:rPr>
          <w:rFonts w:ascii="仿宋_GB2312" w:hAnsi="仿宋_GB2312" w:cs="仿宋_GB2312" w:eastAsia="仿宋_GB2312"/>
        </w:rPr>
        <w:t>二 、供应商将在采购项目实施过程中采用自有或者第三方知识成果的，使用该知识成果后，供应商需提供开发接口和开发手册等技术资料，并承诺提供无限期支持，采购人享有使用权（含采购人 委托第三方在该项目后续开发的使用权） 。</w:t>
      </w:r>
    </w:p>
    <w:p>
      <w:pPr>
        <w:pStyle w:val="null5"/>
        <w:ind w:firstLine="480"/>
        <w:jc w:val="left"/>
      </w:pPr>
      <w:r>
        <w:rPr>
          <w:rFonts w:ascii="仿宋_GB2312" w:hAnsi="仿宋_GB2312" w:cs="仿宋_GB2312" w:eastAsia="仿宋_GB2312"/>
        </w:rPr>
        <w:t>三 、如使用供应商所不拥有的知识产权，则在报价中必须包括合法使用该知识产权的相关费用。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 认的，视同供应商不确认，作无效响应处理。</w:t>
      </w:r>
    </w:p>
    <w:p>
      <w:pPr>
        <w:pStyle w:val="null5"/>
        <w:ind w:firstLine="480"/>
        <w:jc w:val="left"/>
      </w:pPr>
      <w:r>
        <w:rPr>
          <w:rFonts w:ascii="仿宋_GB2312" w:hAnsi="仿宋_GB2312" w:cs="仿宋_GB2312" w:eastAsia="仿宋_GB2312"/>
        </w:rPr>
        <w:t>2.4.6.响应文件的编制 、签章和加密★</w:t>
      </w:r>
    </w:p>
    <w:p>
      <w:pPr>
        <w:pStyle w:val="null5"/>
        <w:ind w:firstLine="480"/>
        <w:jc w:val="left"/>
      </w:pPr>
      <w:r>
        <w:rPr>
          <w:rFonts w:ascii="仿宋_GB2312" w:hAnsi="仿宋_GB2312" w:cs="仿宋_GB2312" w:eastAsia="仿宋_GB2312"/>
        </w:rPr>
        <w:t>一 、供应商应当按照磋商文件规定编制响应文件，磋商文件第六章对响应文件格式有要求的，按照格式要求编制响应文件，没有格式要求的，由供应商自行编写。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 、供应商使用投标（响应）客户端编制响应文件，完成响应文件编制、加盖电子印章和加密。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 、供应商应当在提交响应文件截止时间前，通过交易系统完成响应文件提交，成功提交响应文件的，将收到成功提交响应文件的回执单。成功提交响应文件的供应商信息在提交响应文件截止时间前，将加密保存。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 、在提交响应文件截止时间后，采购人或者代理机构不再接受供应商提交响应文件。供应商应充分考虑影响响应文件提交的各种因素，确保在提交响应文件截止时间前完成提交。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 、除提交响应文件的供应商外，其他任何单位和个人不得解密响应文件或者调整修改已提交响应文件的内容及提交状态。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 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 视为未提交过响应文件。</w:t>
      </w:r>
    </w:p>
    <w:p>
      <w:pPr>
        <w:pStyle w:val="null5"/>
        <w:ind w:firstLine="480"/>
        <w:jc w:val="left"/>
        <w:outlineLvl w:val="2"/>
      </w:pPr>
      <w:r>
        <w:rPr>
          <w:rFonts w:ascii="仿宋_GB2312" w:hAnsi="仿宋_GB2312" w:cs="仿宋_GB2312" w:eastAsia="仿宋_GB2312"/>
          <w:sz w:val="28"/>
          <w:b/>
        </w:rPr>
        <w:t>2.5.开启 、评审和确定成交供应商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 通过交易系统“开标/开启大厅 ”网 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 在规定的解密时间内，使用加密响应文件的数字证书进行响应文件解密。除因平台系统故障导致供应商未按时完成解密外，供应商未 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 采购人或者代理机构应当终止采购活动， 发布项目终止公告并说明原因， 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 采购人或者代理机构根据《关于在政府采购活动中 查询及使用信用记录有关问题的通知》（财库〔2016〕 125号） 的要 求， 通过“信用中国”网站（www.creditchina.gov.cn） 、“中国政府 采购网”网站（www.ccgp.gov.cn） 、“中国执行信息公开网”网站（http://zxgk.court.gov.cn）、“信用山东”网站（https://credit.shandong.gov.cn/）等渠道， 查询供应商在提交响应文 件截止时间前的信用记录并保存信用记录结果网页截图， 拒绝列入 失信被执行人名单 、重大税收违法案件当事人名单（重大税收违法 失信主体） 、政府采购严重违法失信行为记录名单、严重违法失信 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 、采购人或者磋商小组确认成交供应商后， 代理机构在山东政府采购网发布成交结果公告、通过交易系统发出成交通知书， 成 交供应商通过交易系统获取成交通知书。</w:t>
      </w:r>
    </w:p>
    <w:p>
      <w:pPr>
        <w:pStyle w:val="null5"/>
        <w:ind w:firstLine="480"/>
        <w:jc w:val="left"/>
      </w:pPr>
      <w:r>
        <w:rPr>
          <w:rFonts w:ascii="仿宋_GB2312" w:hAnsi="仿宋_GB2312" w:cs="仿宋_GB2312" w:eastAsia="仿宋_GB2312"/>
        </w:rPr>
        <w:t>二 、成交通知书对采购人和成交供应商均具有法律效力。如果出现政府采购法律法规、规章制度规定的成交无效情形的， 将以公告形式宣布发出的成交通知书无效， 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 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 、备案 、履行及验收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 、采购人应在成交通知书发出之日起30日内与成交供应商签订书面合同，采购人因不可抗力原因迟延签订合同的，应当自不可抗力事由消除之日起7日内完成合同签订事宜。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 、采购人和成交供应商签订的书面合同不得对磋商文件确定的事项以及成交供应商的响应文件作实质性修改， 采购人不得向成 交供应商提出任何不合理的要求作为签订合同的条件。</w:t>
      </w:r>
    </w:p>
    <w:p>
      <w:pPr>
        <w:pStyle w:val="null5"/>
        <w:ind w:firstLine="480"/>
        <w:jc w:val="left"/>
      </w:pPr>
      <w:r>
        <w:rPr>
          <w:rFonts w:ascii="仿宋_GB2312" w:hAnsi="仿宋_GB2312" w:cs="仿宋_GB2312" w:eastAsia="仿宋_GB2312"/>
        </w:rPr>
        <w:t>三 、政府采购合同自采购人和成交供应商在书面合同上签章之日起生效。</w:t>
      </w:r>
    </w:p>
    <w:p>
      <w:pPr>
        <w:pStyle w:val="null5"/>
        <w:ind w:firstLine="480"/>
        <w:jc w:val="left"/>
      </w:pPr>
      <w:r>
        <w:rPr>
          <w:rFonts w:ascii="仿宋_GB2312" w:hAnsi="仿宋_GB2312" w:cs="仿宋_GB2312" w:eastAsia="仿宋_GB2312"/>
        </w:rPr>
        <w:t>四 、成交供应商完全遵守《中华人民共和国劳动合同法》有关规定和《中华人民共和国妇女权益保障法》中关于“劳动和社会保 障权益 ”的有关要求。</w:t>
      </w:r>
    </w:p>
    <w:p>
      <w:pPr>
        <w:pStyle w:val="null5"/>
        <w:ind w:firstLine="480"/>
        <w:jc w:val="left"/>
      </w:pPr>
      <w:r>
        <w:rPr>
          <w:rFonts w:ascii="仿宋_GB2312" w:hAnsi="仿宋_GB2312" w:cs="仿宋_GB2312" w:eastAsia="仿宋_GB2312"/>
        </w:rPr>
        <w:t>2.6.2.政府采购合同公告 、备案</w:t>
      </w:r>
    </w:p>
    <w:p>
      <w:pPr>
        <w:pStyle w:val="null5"/>
        <w:ind w:firstLine="480"/>
        <w:jc w:val="left"/>
      </w:pPr>
      <w:r>
        <w:rPr>
          <w:rFonts w:ascii="仿宋_GB2312" w:hAnsi="仿宋_GB2312" w:cs="仿宋_GB2312" w:eastAsia="仿宋_GB2312"/>
        </w:rPr>
        <w:t>政府采购合同签订之日起2个工作日内，采购人将政府采购合同在山东政府采购网予以公告； 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 后将成交项目的非主体、非关键性工作分包的，应当在响应文件中 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 中小企业依据《政府采购促进中小企业发展管理办法》（财库 〔2020〕46 号） 规定的政策获取政府采购合同后， 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 、严禁成交供应商将本项目合同转包。</w:t>
      </w:r>
    </w:p>
    <w:p>
      <w:pPr>
        <w:pStyle w:val="null5"/>
        <w:ind w:firstLine="480"/>
        <w:jc w:val="left"/>
      </w:pPr>
      <w:r>
        <w:rPr>
          <w:rFonts w:ascii="仿宋_GB2312" w:hAnsi="仿宋_GB2312" w:cs="仿宋_GB2312" w:eastAsia="仿宋_GB2312"/>
        </w:rPr>
        <w:t>二 、成交供应商将合同转包的， 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 协商签订补充合同，但所有补充合同的采购金额不得超过原合同采 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 、采购人与成交供应商应当根据合同的约定依法履行合同义务。</w:t>
      </w:r>
    </w:p>
    <w:p>
      <w:pPr>
        <w:pStyle w:val="null5"/>
        <w:ind w:firstLine="480"/>
        <w:jc w:val="left"/>
      </w:pPr>
      <w:r>
        <w:rPr>
          <w:rFonts w:ascii="仿宋_GB2312" w:hAnsi="仿宋_GB2312" w:cs="仿宋_GB2312" w:eastAsia="仿宋_GB2312"/>
        </w:rPr>
        <w:t>二 、政府采购合同的履行、违约责任和解决争议的方法等适用 《中华人民共和国民法典》 。</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 、验收组织方式：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 、履约验收程序：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 、履约验收时间：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自合同签订之日起60日内</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 、技术履约验收内容：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一、健康管理工作站 （一）首页、管理概况 1.系统提供首页、管理概况功能。 2.支持按照不同角色登录后实现当前角色权限内的数据浏览功能。 3.支持查看当前登录角色医疗机构建档人数、一般人群人数、高危人群人数、慢病患者人数、慢病高危人群人数、在管患者人数、脱落患者人数、本月新增在管人数、昨日新增在管人数、昨日确诊人数、死亡人数。 4.支持查看重要待处理任务功能：待筛查、待确诊、待完善档案、今日待随访、出院待随访、待干预、上下转诊、待培训、待考试任务。 5.支持查看工作量统计功能：可查看新建档案、上下转诊、随访评估、健康评估、患者干预、健康处方、方案制定、健康教育的工作量。 6.●系统支持查看危急值、转诊预警、待建档、待管理的消息提醒。 7.支持常用功能快捷入口功能，可根据需求添加、修改、删除快捷菜单。 8.●支持查看患者风险分布、最新血糖、血压情况，并实时滚动刷新。 9.支持查看各病种确诊患者情况、当前登录角色所在机构患者分布情况。 （二）工作台 1.系统提供工作台功能，支持通过读取识别患者身份证，查看需处理任务，进入任务处理功能。 2.支持慢病筛查二维码功能，支持筛查二维码打印，分享给患者扫描二维码，进行慢病主动筛查。 3.可根据需求设置待筛查、待确诊、待完善档案、今日待随访、出院待随访、待干预、上下转诊、待培训、待考试任务。 （三）病池源 1.系统支持医院门诊日志查询，支持按慢病病种后台自动分析门诊日志，实现已确诊慢病患者自动纳入管理，并自动分析患者门诊检查、化验报告自动分析出各病种疑似患者，提醒确诊纳入管理。 2.系统支持医院住院日志查询，支持按慢病病种后台自动分析住院日志，实现已确诊慢病患者自动纳入管理，并自动分析患者住院检查、化验报告自动分析出各病种疑似患者，提醒确诊纳入管理。 3.系统支持查询自主建档人群，支持按照建档时间、管理状态、分配管理团队将患者纳入管理。 （四）一般人群 1.系统支持一般人群管理，包含档案、健康总览、健康趋势、健康处方、数据总览等数据管理，支持单个或批量推送消息通知、宣教。 （五）高危人群 1.支持高危人群总览，支持归属机构、管理状态、管理团队、团队分组、管理人、病种、时间的条件查询并管理高危人群。 2.支持高血压高危人群、糖尿病高危人群、慢阻肺高危人群、冠心病高危人群、肾脏病高危人群、脑卒中高危人群管理，支持归属机构、管理状态、管理团队、团队分组、管理人、病种、时间的条件查询并管理高危人群。 （六）慢病患者 1.支持慢病患者总览，支持归属机构、病种分类、患者分级、管理状态、管理团队、团队分组、管理人、时间的条件查询并管理慢病患者。 2.系统支持将已确诊的慢病患者自动分级：极高危、高危、中危、低危，给医护人员提供参考从而选择重点关注处理的患者。 3.支持高血压患者、糖尿病患者、慢阻肺患者、冠心病患者、肾脏病患者、脑卒中患者管理，支持归属机构、病种分类、患者分级、管理状态、管理团队、团队分组、管理人、时间的条件查询并管理慢病患者。 （七）慢病筛查 1.支持待筛查人群、高危待复筛、筛查记录查询。 2.支持收集患者病症症状、生活方式、辅助检查的信息，并通过智能设备血糖仪、血压计、身高/体脂称自动采集相关设备对应的检测数据。 3.支持依据病种筛查标准及自动采集到数据实现患者是某个慢病病种是否疑似自动提醒。 4.支持对患者进行诊前筛查和随访后通过采集的信息系统可自动识别该患者是否符合慢病对应指标，进行人群分组统一进入病源池管理。 5.支持对当前患者实现各种评估：睡眠呼吸暂停初筛量表、COPD人群筛查评分表、汉密尔顿抑郁量表(HAMD)、营养食欲调查表(SNAQ)、改良呼吸困难指数(mMRC)、中国糖尿病风险评分。 （八）诊前管理 1.支持通过获取当前管理科室就诊的挂号患者，实现诊前筛查。 2.●支持将筛查患者分类：计划内未筛查、计划内已筛查。 （九）诊中管理 1.与his连接，自动提取相关慢病病种诊室当前挂号信息，自动生产就诊队列。 2.●支持查看就诊患者是否是慢病患者，可查看患者诊前筛查记录、健康总览：最近一个月、三个月、一年的最新诊断、体征数据、用药情况、异常检验、手术情况、生活情况、风险评估情况。 3.支持患者的辅助诊断功能，依据相关指南及标准定义各病种的辅助检查项目，自动获取检查结果，提醒医护人员是否对患者进行确诊，或转诊。 4.支持诊疗方案功能，可新增饮食计划、运动计划、用药计划、随访计划、检查/化验计划，并提供方案模板，医生可以引用模板，也可将自己定义的计划存为模板，所有计划可推送到患者手机端查看。 5.●支持自动计算患者的健康详情，可查看患者的健康指数、风险管理指数、执行路径、某天的详细执行内容（执行内容PC端、移动小程序端同步）、最近体征数据曲线图。 6.支持依据患者的检查、检验、体征数</w:t>
      </w:r>
    </w:p>
    <w:p>
      <w:pPr>
        <w:pStyle w:val="null5"/>
        <w:ind w:firstLine="480"/>
        <w:jc w:val="left"/>
      </w:pPr>
      <w:r>
        <w:rPr>
          <w:rFonts w:ascii="仿宋_GB2312" w:hAnsi="仿宋_GB2312" w:cs="仿宋_GB2312" w:eastAsia="仿宋_GB2312"/>
        </w:rPr>
        <w:t>六 、商务履约验收内容：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七 、履约验收标准：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符合相关技术要求及行业标准。</w:t>
      </w:r>
    </w:p>
    <w:p>
      <w:pPr>
        <w:pStyle w:val="null5"/>
        <w:ind w:firstLine="480"/>
        <w:jc w:val="left"/>
      </w:pPr>
      <w:r>
        <w:rPr>
          <w:rFonts w:ascii="仿宋_GB2312" w:hAnsi="仿宋_GB2312" w:cs="仿宋_GB2312" w:eastAsia="仿宋_GB2312"/>
        </w:rPr>
        <w:t>八 、履约验收其他事项：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 总体要求 1.1 系统架构与部署 •系统必须基于B/S架构设计，采用Java等主流开发语言，支持跨院区、多机构（医共体）的统一部署。 •核心业务模块需支持移动端（应用：微信、企业微信；操作系统：iOS、Android、鸿蒙等）及PC端的协同操作。 •支持本地私有化部署或云端部署，数据必须存储在医院指定的服务器或政务云内，确保数据安全。 •支持国产信创，全面兼容适配主流国产信创环境，即要求系统能在国产软硬件上稳定运行。 1.2 互联互通与接入能力 •系统需满足电子病历评级、互联互通标准化成熟度测评及信息安全等级保护(等保三级)安全要求。 •系统需支持县-镇-村三级医疗机构的慢病分级诊疗与协同管理。实现村级筛查与随访、镇级康复与稳定期管理、县级诊断与治疗方案制定的全流程闭环。 •前期需支持10家医共体乡镇医院以及指定的村级医疗机构的接入，系统应具备平滑扩容能力。 •需与医院以下现有系统实现无缝对接（厂商及系统明细如下）： o本院信息系统：东软（HIS、LIS、PACS、EMR、病案系统等）、天瑞康健（体检系统），医院更换新HIS系统后，需要完成与医院新系统的对接 o医共体医院信息系统：众阳（HIS、LIS、PACS、EMR、病案系统等） o公共卫生系统：沐华（公卫系统） 1.3病种管理 本系统病种管理应符合《【2025版】县域慢病管理中心建设总体方案与评价标准》中规定的开展高血压、糖尿病、慢性阻塞性肺疾病、冠心病、脑卒中、慢性肾脏病等主要慢性病管理。可对慢病患者进行筛选分组管理，病患者入组、评估、干预、随访、健康教育、用药提醒、复诊提醒、病情异常情况识别等多种角度实现管理过程。支持专案病种多级分类，如科室分类(心血管内科)疾病分类(高血压)-疾病分级(高血压1级、高血压2级、高血压3级)；支持按照科室或疾病类型配置科室分类(如慢病、肾病科、心血管内科、泌尿外科)；支持按照疾病病种配置疾病分类(如高血压、糖尿病、慢阻肺)；支持进行疾病分级分类(如糖尿病疾病分级为1型糖尿病、2型糖尿病、妊娠期糖尿病和其他特殊类型糖尿病)；支持配置疾病专案管理的功能组件，包含启用与关闭。功能组件主要包含患者档案、量表评估、健康目标、随访管理、健康指导、监测数据、复诊管理、预约登记、异常处理、患者反馈、检验分析、个案管理计划、快捷互动、管理日志。 1.4 性能与安全 •并发性能： 满足全院及医共体单位不少于500名医护人员同时在线使用，页面响应时间不超过3秒。 •数据隐私与安全保护 ： 系统在设计、开发、部署及运行全周期中，须满足以下数据隐私保护要求，确保符合《个人信息保护法》《数据安全法》及医疗健康数据相关管理规定。 对姓名、身份证号、手机号等敏感数据采用国密算法进行存储加密；传输过程使用TLS 1.2及以上协议。 基于角色的权限管理，支持功能按钮级和数据范围级权限控制。 记录所有用户操作日志（登录、增删改查等），日志保存不少于6个月，且不可篡改。 1.5 技术支持与售后服务 培训服务：提供至少4场次以上的现场培训以及完整的系统操作手册。 免费维保：提供至少1年的免费质保期，质保期内免费修复BUG及进行必要的政策性接口改造。质保期满后按4%收取维保费。 版本升级：医院使用软件期间，免费进行版本升级。 1.6 接口与费用说明 投标方案须包含与总院信息系统、医共体医院信息系统、公卫信息系统的接口费用，报价中包含接口费预算10万元，若实际接口费用与预算金额出现偏差将执行如下条款：1）接口费用超过10万元，超过部分由医院自行承担；2）接口费不足10万元，余额部分将转为质保期后维保费用。</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 及时向成交供应商支付采购资金 。具体支付约定详见第三章。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 、有下列情形之一的， 视为供应商串通响应：</w:t>
      </w:r>
    </w:p>
    <w:p>
      <w:pPr>
        <w:pStyle w:val="null5"/>
        <w:ind w:firstLine="480"/>
        <w:jc w:val="left"/>
      </w:pPr>
      <w:r>
        <w:rPr>
          <w:rFonts w:ascii="仿宋_GB2312" w:hAnsi="仿宋_GB2312" w:cs="仿宋_GB2312" w:eastAsia="仿宋_GB2312"/>
        </w:rPr>
        <w:t>（一） 不同供应商的响应文件由同一单位或者个人编制；</w:t>
      </w:r>
    </w:p>
    <w:p>
      <w:pPr>
        <w:pStyle w:val="null5"/>
        <w:ind w:firstLine="480"/>
        <w:jc w:val="left"/>
      </w:pPr>
      <w:r>
        <w:rPr>
          <w:rFonts w:ascii="仿宋_GB2312" w:hAnsi="仿宋_GB2312" w:cs="仿宋_GB2312" w:eastAsia="仿宋_GB2312"/>
        </w:rPr>
        <w:t>（二） 不同供应商委托同一单位或者个人办理投标事宜；</w:t>
      </w:r>
    </w:p>
    <w:p>
      <w:pPr>
        <w:pStyle w:val="null5"/>
        <w:ind w:firstLine="480"/>
        <w:jc w:val="left"/>
      </w:pPr>
      <w:r>
        <w:rPr>
          <w:rFonts w:ascii="仿宋_GB2312" w:hAnsi="仿宋_GB2312" w:cs="仿宋_GB2312" w:eastAsia="仿宋_GB2312"/>
        </w:rPr>
        <w:t>（三） 不同供应商的响应文件载明的项目管理成员或者联系人员为同一人；</w:t>
      </w:r>
    </w:p>
    <w:p>
      <w:pPr>
        <w:pStyle w:val="null5"/>
        <w:ind w:firstLine="480"/>
        <w:jc w:val="left"/>
      </w:pPr>
      <w:r>
        <w:rPr>
          <w:rFonts w:ascii="仿宋_GB2312" w:hAnsi="仿宋_GB2312" w:cs="仿宋_GB2312" w:eastAsia="仿宋_GB2312"/>
        </w:rPr>
        <w:t>（四） 不同供应商的响应文件异常一致或者响应报价呈规律性差异；</w:t>
      </w:r>
    </w:p>
    <w:p>
      <w:pPr>
        <w:pStyle w:val="null5"/>
        <w:ind w:firstLine="480"/>
        <w:jc w:val="left"/>
      </w:pPr>
      <w:r>
        <w:rPr>
          <w:rFonts w:ascii="仿宋_GB2312" w:hAnsi="仿宋_GB2312" w:cs="仿宋_GB2312" w:eastAsia="仿宋_GB2312"/>
        </w:rPr>
        <w:t>（五） 不同供应商的响应文件相互混装；</w:t>
      </w:r>
    </w:p>
    <w:p>
      <w:pPr>
        <w:pStyle w:val="null5"/>
        <w:ind w:firstLine="480"/>
        <w:jc w:val="left"/>
      </w:pPr>
      <w:r>
        <w:rPr>
          <w:rFonts w:ascii="仿宋_GB2312" w:hAnsi="仿宋_GB2312" w:cs="仿宋_GB2312" w:eastAsia="仿宋_GB2312"/>
        </w:rPr>
        <w:t>（六） 不同供应商的响应保证金从同一单位或者个人的账户转出。</w:t>
      </w:r>
    </w:p>
    <w:p>
      <w:pPr>
        <w:pStyle w:val="null5"/>
        <w:ind w:firstLine="480"/>
        <w:jc w:val="both"/>
      </w:pPr>
      <w:r>
        <w:rPr>
          <w:rFonts w:ascii="仿宋_GB2312" w:hAnsi="仿宋_GB2312" w:cs="仿宋_GB2312" w:eastAsia="仿宋_GB2312"/>
        </w:rPr>
        <w:t>二 、有下列情形之一的， 属于恶意串通， 对供应商依照《中华 人民共和国政府采购法》第七十七条第一款的规定追究法律责任， 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 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 供应商按照采购人或者代理机构的授意撤换、修改响应文件；</w:t>
      </w:r>
    </w:p>
    <w:p>
      <w:pPr>
        <w:pStyle w:val="null5"/>
        <w:ind w:firstLine="480"/>
        <w:jc w:val="left"/>
      </w:pPr>
      <w:r>
        <w:rPr>
          <w:rFonts w:ascii="仿宋_GB2312" w:hAnsi="仿宋_GB2312" w:cs="仿宋_GB2312" w:eastAsia="仿宋_GB2312"/>
        </w:rPr>
        <w:t>（三） 供应商之间协商报价、技术方案等响应文件的实质性内容；</w:t>
      </w:r>
    </w:p>
    <w:p>
      <w:pPr>
        <w:pStyle w:val="null5"/>
        <w:ind w:firstLine="480"/>
        <w:jc w:val="left"/>
      </w:pPr>
      <w:r>
        <w:rPr>
          <w:rFonts w:ascii="仿宋_GB2312" w:hAnsi="仿宋_GB2312" w:cs="仿宋_GB2312" w:eastAsia="仿宋_GB2312"/>
        </w:rPr>
        <w:t>（四） 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 供应商之间事先约定由某一特定供应商成交；</w:t>
      </w:r>
    </w:p>
    <w:p>
      <w:pPr>
        <w:pStyle w:val="null5"/>
        <w:ind w:firstLine="480"/>
        <w:jc w:val="left"/>
      </w:pPr>
      <w:r>
        <w:rPr>
          <w:rFonts w:ascii="仿宋_GB2312" w:hAnsi="仿宋_GB2312" w:cs="仿宋_GB2312" w:eastAsia="仿宋_GB2312"/>
        </w:rPr>
        <w:t>（六） 供应商之间商定部分供应商放弃参加政府采购活动或者放弃成交；</w:t>
      </w:r>
    </w:p>
    <w:p>
      <w:pPr>
        <w:pStyle w:val="null5"/>
        <w:ind w:firstLine="480"/>
        <w:jc w:val="left"/>
      </w:pPr>
      <w:r>
        <w:rPr>
          <w:rFonts w:ascii="仿宋_GB2312" w:hAnsi="仿宋_GB2312" w:cs="仿宋_GB2312" w:eastAsia="仿宋_GB2312"/>
        </w:rPr>
        <w:t>（七） 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 、提供虚假材料谋取成交；</w:t>
      </w:r>
    </w:p>
    <w:p>
      <w:pPr>
        <w:pStyle w:val="null5"/>
        <w:ind w:firstLine="480"/>
        <w:jc w:val="left"/>
      </w:pPr>
      <w:r>
        <w:rPr>
          <w:rFonts w:ascii="仿宋_GB2312" w:hAnsi="仿宋_GB2312" w:cs="仿宋_GB2312" w:eastAsia="仿宋_GB2312"/>
        </w:rPr>
        <w:t>四 、采取不正当手段诋毁、排挤其他供应商；</w:t>
      </w:r>
    </w:p>
    <w:p>
      <w:pPr>
        <w:pStyle w:val="null5"/>
        <w:ind w:firstLine="480"/>
        <w:jc w:val="left"/>
      </w:pPr>
      <w:r>
        <w:rPr>
          <w:rFonts w:ascii="仿宋_GB2312" w:hAnsi="仿宋_GB2312" w:cs="仿宋_GB2312" w:eastAsia="仿宋_GB2312"/>
        </w:rPr>
        <w:t>五 、与采购人或者代理机构、其他供应商恶意串通；</w:t>
      </w:r>
    </w:p>
    <w:p>
      <w:pPr>
        <w:pStyle w:val="null5"/>
        <w:ind w:firstLine="480"/>
        <w:jc w:val="left"/>
      </w:pPr>
      <w:r>
        <w:rPr>
          <w:rFonts w:ascii="仿宋_GB2312" w:hAnsi="仿宋_GB2312" w:cs="仿宋_GB2312" w:eastAsia="仿宋_GB2312"/>
        </w:rPr>
        <w:t>六 、 向采购人或者代理机构、磋商小组成员行贿或者提供其他不正当利益；</w:t>
      </w:r>
    </w:p>
    <w:p>
      <w:pPr>
        <w:pStyle w:val="null5"/>
        <w:ind w:firstLine="480"/>
        <w:jc w:val="left"/>
      </w:pPr>
      <w:r>
        <w:rPr>
          <w:rFonts w:ascii="仿宋_GB2312" w:hAnsi="仿宋_GB2312" w:cs="仿宋_GB2312" w:eastAsia="仿宋_GB2312"/>
        </w:rPr>
        <w:t>七 、成交后无正当理由拒不与采购人签订政府采购合同；</w:t>
      </w:r>
    </w:p>
    <w:p>
      <w:pPr>
        <w:pStyle w:val="null5"/>
        <w:ind w:firstLine="480"/>
        <w:jc w:val="left"/>
      </w:pPr>
      <w:r>
        <w:rPr>
          <w:rFonts w:ascii="仿宋_GB2312" w:hAnsi="仿宋_GB2312" w:cs="仿宋_GB2312" w:eastAsia="仿宋_GB2312"/>
        </w:rPr>
        <w:t>八 、未按照磋商文件确定的事项签订政府采购合同；</w:t>
      </w:r>
    </w:p>
    <w:p>
      <w:pPr>
        <w:pStyle w:val="null5"/>
        <w:ind w:firstLine="480"/>
        <w:jc w:val="left"/>
      </w:pPr>
      <w:r>
        <w:rPr>
          <w:rFonts w:ascii="仿宋_GB2312" w:hAnsi="仿宋_GB2312" w:cs="仿宋_GB2312" w:eastAsia="仿宋_GB2312"/>
        </w:rPr>
        <w:t>九 、将政府采购合同转包或者违规分包；</w:t>
      </w:r>
    </w:p>
    <w:p>
      <w:pPr>
        <w:pStyle w:val="null5"/>
        <w:ind w:firstLine="480"/>
        <w:jc w:val="left"/>
      </w:pPr>
      <w:r>
        <w:rPr>
          <w:rFonts w:ascii="仿宋_GB2312" w:hAnsi="仿宋_GB2312" w:cs="仿宋_GB2312" w:eastAsia="仿宋_GB2312"/>
        </w:rPr>
        <w:t>十 、提供假冒伪劣产品；</w:t>
      </w:r>
    </w:p>
    <w:p>
      <w:pPr>
        <w:pStyle w:val="null5"/>
        <w:ind w:firstLine="480"/>
        <w:jc w:val="left"/>
      </w:pPr>
      <w:r>
        <w:rPr>
          <w:rFonts w:ascii="仿宋_GB2312" w:hAnsi="仿宋_GB2312" w:cs="仿宋_GB2312" w:eastAsia="仿宋_GB2312"/>
        </w:rPr>
        <w:t>十一 、擅自变更、 中止或者终止政府采购合同；</w:t>
      </w:r>
    </w:p>
    <w:p>
      <w:pPr>
        <w:pStyle w:val="null5"/>
        <w:ind w:firstLine="480"/>
        <w:jc w:val="left"/>
      </w:pPr>
      <w:r>
        <w:rPr>
          <w:rFonts w:ascii="仿宋_GB2312" w:hAnsi="仿宋_GB2312" w:cs="仿宋_GB2312" w:eastAsia="仿宋_GB2312"/>
        </w:rPr>
        <w:t>十二 、拒绝有关部门的监督检查或者向监督检查部门提供虚假 情况；</w:t>
      </w:r>
    </w:p>
    <w:p>
      <w:pPr>
        <w:pStyle w:val="null5"/>
        <w:ind w:firstLine="480"/>
        <w:jc w:val="left"/>
      </w:pPr>
      <w:r>
        <w:rPr>
          <w:rFonts w:ascii="仿宋_GB2312" w:hAnsi="仿宋_GB2312" w:cs="仿宋_GB2312" w:eastAsia="仿宋_GB2312"/>
        </w:rPr>
        <w:t>十三 、法律法规规定的其他禁止情形。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 。此外，将按照规定追究供应商法律责任。属于恶意串通的，将根据《中华人民共和国政府采购法》第七十七条第一款，对供应商处以采购金额千分之五以上千分之十以下的罚款， 列入不良行为记录名单， 在一至三年 内禁止参加政府采购活动， 有违法所得的， 并处没收违法所得， 情节严重的，由市场监督管理部门吊销营业执照； 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 、参加采购活动前 3 年内与供应商存在劳动关系；</w:t>
      </w:r>
    </w:p>
    <w:p>
      <w:pPr>
        <w:pStyle w:val="null5"/>
        <w:ind w:firstLine="480"/>
        <w:jc w:val="left"/>
      </w:pPr>
      <w:r>
        <w:rPr>
          <w:rFonts w:ascii="仿宋_GB2312" w:hAnsi="仿宋_GB2312" w:cs="仿宋_GB2312" w:eastAsia="仿宋_GB2312"/>
        </w:rPr>
        <w:t>二 、参加采购活动前 3 年内担任供应商的董事、监事；</w:t>
      </w:r>
    </w:p>
    <w:p>
      <w:pPr>
        <w:pStyle w:val="null5"/>
        <w:ind w:firstLine="480"/>
        <w:jc w:val="left"/>
      </w:pPr>
      <w:r>
        <w:rPr>
          <w:rFonts w:ascii="仿宋_GB2312" w:hAnsi="仿宋_GB2312" w:cs="仿宋_GB2312" w:eastAsia="仿宋_GB2312"/>
        </w:rPr>
        <w:t>三 、参加采购活动前 3 年内是供应商的控股股东或者实际控制人；</w:t>
      </w:r>
    </w:p>
    <w:p>
      <w:pPr>
        <w:pStyle w:val="null5"/>
        <w:ind w:firstLine="480"/>
        <w:jc w:val="left"/>
      </w:pPr>
      <w:r>
        <w:rPr>
          <w:rFonts w:ascii="仿宋_GB2312" w:hAnsi="仿宋_GB2312" w:cs="仿宋_GB2312" w:eastAsia="仿宋_GB2312"/>
        </w:rPr>
        <w:t>四 、与供应商的法定代表人或者负责人有夫妻、直系血亲、三代以内旁系血亲或者近姻亲关系；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 、与供应商有其他可能影响政府采购活动公平、公正进行的关系。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 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 、质疑和投诉</w:t>
      </w:r>
    </w:p>
    <w:p>
      <w:pPr>
        <w:pStyle w:val="null5"/>
        <w:ind w:firstLine="480"/>
        <w:jc w:val="left"/>
      </w:pPr>
      <w:r>
        <w:rPr>
          <w:rFonts w:ascii="仿宋_GB2312" w:hAnsi="仿宋_GB2312" w:cs="仿宋_GB2312" w:eastAsia="仿宋_GB2312"/>
        </w:rPr>
        <w:t>一 、询问、质疑、投诉的接收和处理严格按照《中华人民共和国政府采购法》《中华人民共和国政府采购法实施条例》《政府采购质疑和投诉办法》等规定办理。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 、供应商询问、质疑的答复主体：</w:t>
      </w:r>
    </w:p>
    <w:p>
      <w:pPr>
        <w:pStyle w:val="null5"/>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乳山市人民医院</w:t>
      </w:r>
      <w:r>
        <w:rPr>
          <w:rFonts w:ascii="仿宋_GB2312" w:hAnsi="仿宋_GB2312" w:cs="仿宋_GB2312" w:eastAsia="仿宋_GB2312"/>
        </w:rPr>
        <w:t xml:space="preserve">负责答复；供应商对除采购需求外的磋商文件的询问、质疑由 </w:t>
      </w:r>
      <w:r>
        <w:rPr>
          <w:rFonts w:ascii="仿宋_GB2312" w:hAnsi="仿宋_GB2312" w:cs="仿宋_GB2312" w:eastAsia="仿宋_GB2312"/>
        </w:rPr>
        <w:t>乳山宏大工程咨询有限公司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乳山宏大工程咨询有限公司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联系人：柯耀辉</w:t>
      </w:r>
    </w:p>
    <w:p>
      <w:pPr>
        <w:pStyle w:val="null5"/>
        <w:jc w:val="left"/>
      </w:pPr>
      <w:r>
        <w:rPr>
          <w:rFonts w:ascii="仿宋_GB2312" w:hAnsi="仿宋_GB2312" w:cs="仿宋_GB2312" w:eastAsia="仿宋_GB2312"/>
        </w:rPr>
        <w:t>联系电话：0631-6675889</w:t>
      </w:r>
    </w:p>
    <w:p>
      <w:pPr>
        <w:pStyle w:val="null5"/>
        <w:jc w:val="left"/>
      </w:pPr>
      <w:r>
        <w:rPr>
          <w:rFonts w:ascii="仿宋_GB2312" w:hAnsi="仿宋_GB2312" w:cs="仿宋_GB2312" w:eastAsia="仿宋_GB2312"/>
        </w:rPr>
        <w:t>地址：乳山市世纪大道260号北楼二楼</w:t>
      </w:r>
    </w:p>
    <w:p>
      <w:pPr>
        <w:pStyle w:val="null5"/>
        <w:jc w:val="left"/>
      </w:pPr>
      <w:r>
        <w:rPr>
          <w:rFonts w:ascii="仿宋_GB2312" w:hAnsi="仿宋_GB2312" w:cs="仿宋_GB2312" w:eastAsia="仿宋_GB2312"/>
        </w:rPr>
        <w:t>邮编：264500</w:t>
      </w:r>
    </w:p>
    <w:p>
      <w:pPr>
        <w:pStyle w:val="null5"/>
        <w:ind w:firstLine="480"/>
        <w:jc w:val="left"/>
      </w:pPr>
      <w:r>
        <w:rPr>
          <w:rFonts w:ascii="仿宋_GB2312" w:hAnsi="仿宋_GB2312" w:cs="仿宋_GB2312" w:eastAsia="仿宋_GB2312"/>
        </w:rPr>
        <w:t>三 、供应商提出的询问，应当明确询问事项，如以书面形式提出的，应由供应商签字并加盖公章。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 、供应商认为磋商文件、采购过程、成交结果使自己的权益受到损害的，可以在知道或者应知其权益受到损害之日起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 。供应商应知其 权益受到损害之日，是指：</w:t>
      </w:r>
    </w:p>
    <w:p>
      <w:pPr>
        <w:pStyle w:val="null5"/>
        <w:ind w:firstLine="480"/>
        <w:jc w:val="left"/>
      </w:pPr>
      <w:r>
        <w:rPr>
          <w:rFonts w:ascii="仿宋_GB2312" w:hAnsi="仿宋_GB2312" w:cs="仿宋_GB2312" w:eastAsia="仿宋_GB2312"/>
        </w:rPr>
        <w:t>（一） 对可以质疑的磋商文件提出质疑的， 为收到磋商文件之日或者磋商文件公告期限届满之日；</w:t>
      </w:r>
    </w:p>
    <w:p>
      <w:pPr>
        <w:pStyle w:val="null5"/>
        <w:ind w:firstLine="480"/>
        <w:jc w:val="left"/>
      </w:pPr>
      <w:r>
        <w:rPr>
          <w:rFonts w:ascii="仿宋_GB2312" w:hAnsi="仿宋_GB2312" w:cs="仿宋_GB2312" w:eastAsia="仿宋_GB2312"/>
        </w:rPr>
        <w:t>（二） 对采购过程提出质疑的，为各采购程序环节结束之日；</w:t>
      </w:r>
    </w:p>
    <w:p>
      <w:pPr>
        <w:pStyle w:val="null5"/>
        <w:ind w:firstLine="480"/>
        <w:jc w:val="left"/>
      </w:pPr>
      <w:r>
        <w:rPr>
          <w:rFonts w:ascii="仿宋_GB2312" w:hAnsi="仿宋_GB2312" w:cs="仿宋_GB2312" w:eastAsia="仿宋_GB2312"/>
        </w:rPr>
        <w:t>（三） 对成交结果提出质疑的，为成交结果公告期限届满之日。</w:t>
      </w:r>
    </w:p>
    <w:p>
      <w:pPr>
        <w:pStyle w:val="null5"/>
        <w:ind w:firstLine="480"/>
        <w:jc w:val="left"/>
      </w:pPr>
      <w:r>
        <w:rPr>
          <w:rFonts w:ascii="仿宋_GB2312" w:hAnsi="仿宋_GB2312" w:cs="仿宋_GB2312" w:eastAsia="仿宋_GB2312"/>
        </w:rPr>
        <w:t>五 、供应商通过书面形式线下向采购人或者代理机构提交质疑资料。</w:t>
      </w:r>
    </w:p>
    <w:p>
      <w:pPr>
        <w:pStyle w:val="null5"/>
        <w:ind w:firstLine="480"/>
        <w:jc w:val="left"/>
      </w:pPr>
      <w:r>
        <w:rPr>
          <w:rFonts w:ascii="仿宋_GB2312" w:hAnsi="仿宋_GB2312" w:cs="仿宋_GB2312" w:eastAsia="仿宋_GB2312"/>
        </w:rPr>
        <w:t>六 、供应商提出质疑时应当准备的资料：</w:t>
      </w:r>
    </w:p>
    <w:p>
      <w:pPr>
        <w:pStyle w:val="null5"/>
        <w:ind w:firstLine="480"/>
        <w:jc w:val="left"/>
      </w:pPr>
      <w:r>
        <w:rPr>
          <w:rFonts w:ascii="仿宋_GB2312" w:hAnsi="仿宋_GB2312" w:cs="仿宋_GB2312" w:eastAsia="仿宋_GB2312"/>
        </w:rPr>
        <w:t>（一） 质疑函正本 1 份；</w:t>
      </w:r>
    </w:p>
    <w:p>
      <w:pPr>
        <w:pStyle w:val="null5"/>
        <w:ind w:firstLine="480"/>
        <w:jc w:val="left"/>
      </w:pPr>
      <w:r>
        <w:rPr>
          <w:rFonts w:ascii="仿宋_GB2312" w:hAnsi="仿宋_GB2312" w:cs="仿宋_GB2312" w:eastAsia="仿宋_GB2312"/>
        </w:rPr>
        <w:t>（二） 法定代表人或主要负责人授权委托书 1 份（委托代理人办理质疑事宜的需提供）；</w:t>
      </w:r>
    </w:p>
    <w:p>
      <w:pPr>
        <w:pStyle w:val="null5"/>
        <w:ind w:firstLine="480"/>
        <w:jc w:val="left"/>
      </w:pPr>
      <w:r>
        <w:rPr>
          <w:rFonts w:ascii="仿宋_GB2312" w:hAnsi="仿宋_GB2312" w:cs="仿宋_GB2312" w:eastAsia="仿宋_GB2312"/>
        </w:rPr>
        <w:t>（三） 法定代表人或主要负责人身份证复印件 1 份；</w:t>
      </w:r>
    </w:p>
    <w:p>
      <w:pPr>
        <w:pStyle w:val="null5"/>
        <w:ind w:firstLine="480"/>
        <w:jc w:val="left"/>
      </w:pPr>
      <w:r>
        <w:rPr>
          <w:rFonts w:ascii="仿宋_GB2312" w:hAnsi="仿宋_GB2312" w:cs="仿宋_GB2312" w:eastAsia="仿宋_GB2312"/>
        </w:rPr>
        <w:t>（四） 委托代理人身份证复印件 1 份（委托代理人办理质疑事宜的需提供）；</w:t>
      </w:r>
    </w:p>
    <w:p>
      <w:pPr>
        <w:pStyle w:val="null5"/>
        <w:ind w:firstLine="480"/>
        <w:jc w:val="left"/>
      </w:pPr>
      <w:r>
        <w:rPr>
          <w:rFonts w:ascii="仿宋_GB2312" w:hAnsi="仿宋_GB2312" w:cs="仿宋_GB2312" w:eastAsia="仿宋_GB2312"/>
        </w:rPr>
        <w:t>（五） 针对质疑事项必要的证明材料（针对磋商文件提出的质疑，需提交从交易系统获取的磋商文件回执单） 。</w:t>
      </w:r>
    </w:p>
    <w:p>
      <w:pPr>
        <w:pStyle w:val="null5"/>
        <w:ind w:firstLine="480"/>
        <w:jc w:val="left"/>
      </w:pPr>
      <w:r>
        <w:rPr>
          <w:rFonts w:ascii="仿宋_GB2312" w:hAnsi="仿宋_GB2312" w:cs="仿宋_GB2312" w:eastAsia="仿宋_GB2312"/>
        </w:rPr>
        <w:t>注： 根据《中华人民共和国政府采购法》的规定， 供应商质疑不得超出磋商文件、采购过程、采购结果的范围。</w:t>
      </w:r>
    </w:p>
    <w:p>
      <w:pPr>
        <w:pStyle w:val="null5"/>
        <w:ind w:firstLine="480"/>
        <w:jc w:val="left"/>
      </w:pPr>
      <w:r>
        <w:rPr>
          <w:rFonts w:ascii="仿宋_GB2312" w:hAnsi="仿宋_GB2312" w:cs="仿宋_GB2312" w:eastAsia="仿宋_GB2312"/>
        </w:rPr>
        <w:t>七 、供应商对采购人或者代理机构的质疑答复不满意、采购人或者代理机构未在规定期限内作出答复的，供应商可以在答复期满后15 个工作日内向同级财政部门提起投诉。</w:t>
      </w:r>
    </w:p>
    <w:p>
      <w:pPr>
        <w:pStyle w:val="null5"/>
        <w:ind w:firstLine="480"/>
        <w:jc w:val="left"/>
      </w:pPr>
      <w:r>
        <w:rPr>
          <w:rFonts w:ascii="仿宋_GB2312" w:hAnsi="仿宋_GB2312" w:cs="仿宋_GB2312" w:eastAsia="仿宋_GB2312"/>
        </w:rPr>
        <w:t>八 、法律责任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 任人员，由其行政主管部门或者有关机关给予处分，并予通报：</w:t>
      </w:r>
    </w:p>
    <w:p>
      <w:pPr>
        <w:pStyle w:val="null5"/>
        <w:ind w:firstLine="480"/>
        <w:jc w:val="left"/>
      </w:pPr>
      <w:r>
        <w:rPr>
          <w:rFonts w:ascii="仿宋_GB2312" w:hAnsi="仿宋_GB2312" w:cs="仿宋_GB2312" w:eastAsia="仿宋_GB2312"/>
        </w:rPr>
        <w:t>（一） 拒收质疑供应商在法定质疑期内发出的质疑函；</w:t>
      </w:r>
    </w:p>
    <w:p>
      <w:pPr>
        <w:pStyle w:val="null5"/>
        <w:ind w:firstLine="480"/>
        <w:jc w:val="left"/>
      </w:pPr>
      <w:r>
        <w:rPr>
          <w:rFonts w:ascii="仿宋_GB2312" w:hAnsi="仿宋_GB2312" w:cs="仿宋_GB2312" w:eastAsia="仿宋_GB2312"/>
        </w:rPr>
        <w:t>（二） 对质疑不予答复或者答复与事实明显不符，并不能作出合理说明；</w:t>
      </w:r>
    </w:p>
    <w:p>
      <w:pPr>
        <w:pStyle w:val="null5"/>
        <w:ind w:firstLine="480"/>
        <w:jc w:val="left"/>
      </w:pPr>
      <w:r>
        <w:rPr>
          <w:rFonts w:ascii="仿宋_GB2312" w:hAnsi="仿宋_GB2312" w:cs="仿宋_GB2312" w:eastAsia="仿宋_GB2312"/>
        </w:rPr>
        <w:t>（三） 拒绝配合财政部门处理投诉事宜。</w:t>
      </w:r>
    </w:p>
    <w:p>
      <w:pPr>
        <w:pStyle w:val="null5"/>
        <w:ind w:firstLine="480"/>
        <w:jc w:val="both"/>
      </w:pPr>
      <w:r>
        <w:rPr>
          <w:rFonts w:ascii="仿宋_GB2312" w:hAnsi="仿宋_GB2312" w:cs="仿宋_GB2312" w:eastAsia="仿宋_GB2312"/>
        </w:rPr>
        <w:t>供应商在全国范围12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 捏造事实；</w:t>
      </w:r>
    </w:p>
    <w:p>
      <w:pPr>
        <w:pStyle w:val="null5"/>
        <w:ind w:firstLine="480"/>
        <w:jc w:val="left"/>
      </w:pPr>
      <w:r>
        <w:rPr>
          <w:rFonts w:ascii="仿宋_GB2312" w:hAnsi="仿宋_GB2312" w:cs="仿宋_GB2312" w:eastAsia="仿宋_GB2312"/>
        </w:rPr>
        <w:t>（二） 提供虚假材料；</w:t>
      </w:r>
    </w:p>
    <w:p>
      <w:pPr>
        <w:pStyle w:val="null5"/>
        <w:ind w:firstLine="480"/>
        <w:jc w:val="left"/>
      </w:pPr>
      <w:r>
        <w:rPr>
          <w:rFonts w:ascii="仿宋_GB2312" w:hAnsi="仿宋_GB2312" w:cs="仿宋_GB2312" w:eastAsia="仿宋_GB2312"/>
        </w:rPr>
        <w:t>（三） 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 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 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平台运维单位负责平台系统故障的排查认定，对认定为平台系统故障的，通过山东政府采购网发布运维通知，明确故障类型、故障期间 、影响范围、处理意见。故障排除后，采购人、代理机构应当依据运维通知内容评估对项目采购活动的影响情况，根据应急处置预案进行处理， 依法开展后续采购活动。如影响供应商获取采购文件、提交投标响应文件、解密投标响应文件或者评审中响应报价、澄清说明等的，采购人、代理机构 、评审委员会应当在故障排除后，根据有关规定依次顺延相关截止时间，并由代理机构告知供应商。不得因平台系统故障免除平台用户应当承担的义务和法律责任。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 。供应商应当在 使用平台前做好必要的准备和验证工作，并承担准备验证不充分产 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 公正和安全的情形，采购人、代理机构应当根据应急处置预案进行处理。如影响供应商获取采购文件、提交投标响应文件、解密投标响应文件或者评审中响应报价、澄清说明等的， 采购人、代理机构、 评审委员会应当在故障排除后，根据有关规定依次顺延相关截止时间， 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 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 、服务及其他要求</w:t>
      </w:r>
    </w:p>
    <w:p>
      <w:pPr>
        <w:pStyle w:val="null5"/>
        <w:ind w:firstLine="480"/>
        <w:jc w:val="both"/>
      </w:pPr>
      <w:r>
        <w:rPr>
          <w:rFonts w:ascii="仿宋_GB2312" w:hAnsi="仿宋_GB2312" w:cs="仿宋_GB2312" w:eastAsia="仿宋_GB2312"/>
        </w:rPr>
        <w:t>（注： 本章的技术、服务及其他要求中，带“ ★ ”的要求为实 质性要求 。采购人、代理机构应当根据项目实际要求合理设定，并在第五章符合性审查中明确响应要求。）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600,000.00</w:t>
      </w:r>
    </w:p>
    <w:p>
      <w:pPr>
        <w:pStyle w:val="null5"/>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慢病管理系统采购</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600,000.00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慢病管理系统采购</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慢病管理系统采购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慢病管理系统采购</w:t>
            </w:r>
          </w:p>
        </w:tc>
        <w:tc>
          <w:tcPr>
            <w:tcW w:type="dxa" w:w="2076"/>
          </w:tcPr>
          <w:p>
            <w:pPr>
              <w:pStyle w:val="null5"/>
              <w:jc w:val="left"/>
            </w:pPr>
            <w:r>
              <w:rPr>
                <w:rFonts w:ascii="仿宋_GB2312" w:hAnsi="仿宋_GB2312" w:cs="仿宋_GB2312" w:eastAsia="仿宋_GB2312"/>
              </w:rPr>
              <w:t>慢病管理系统采购</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 ，不能指向唯一产品的，应通过报价表唯一产品说明栏补充说明。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 涉及核心产品的， 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 中政府强制采购的产品， 供应商应当提供由国家确定的认证机构出具的、处 于有效期之内的节能产品认证证书的原件扫描件或“全国认证认可 信息公共服务平台”（http://cx.cnca.cn） 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 中优先采购的产品， 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响应产品属于《环境标志产品政府采购品目清单》 中的产品，供应商提供由国家确定的认证机构出具的、处于有效期之内的环境标志产品认证证书的原件扫描件或“全国认证认可信息公共服务平台”（http://cx.cnca.cn） 的认证信息截图，可以享受优先采购政策 。具体要求详见第五章规定。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标的名称：慢病管理系统采购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慢病管理系统</w:t>
            </w:r>
          </w:p>
        </w:tc>
        <w:tc>
          <w:tcPr>
            <w:tcW w:type="dxa" w:w="2076"/>
          </w:tcPr>
          <w:p>
            <w:pPr>
              <w:pStyle w:val="null5"/>
              <w:jc w:val="both"/>
            </w:pPr>
            <w:r>
              <w:rPr>
                <w:rFonts w:ascii="仿宋_GB2312" w:hAnsi="仿宋_GB2312" w:cs="仿宋_GB2312" w:eastAsia="仿宋_GB2312"/>
                <w:sz w:val="24"/>
                <w:b/>
              </w:rPr>
              <w:t>一、健康管理工作站</w:t>
            </w:r>
          </w:p>
          <w:p>
            <w:pPr>
              <w:pStyle w:val="null5"/>
              <w:jc w:val="both"/>
            </w:pPr>
            <w:r>
              <w:rPr>
                <w:rFonts w:ascii="仿宋_GB2312" w:hAnsi="仿宋_GB2312" w:cs="仿宋_GB2312" w:eastAsia="仿宋_GB2312"/>
                <w:sz w:val="24"/>
                <w:b/>
              </w:rPr>
              <w:t>（一）首页、管理概况</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系统提供首页、管理概况功能。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支持按照不同角色登录后实现当前角色权限内的数据浏览功能。</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支持查看当前登录角色医疗机构建档人数、一般人群人数、高危人群人数、慢病患者人数、慢病高危人群人数、在管患者人数、脱落患者人数、本月新增在管人数、昨日新增在管人数、昨日确诊人数、死亡人数。</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支持查看重要待处理任务功能：待筛查、待确诊、待完善档案、今日待随访、出院待随访、待干预、上下转诊、待培训、待考试任务。</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支持查看工作量统计功能：可查看新建档案、上下转诊、随访评估、健康评估、患者干预、健康处方、方案制定、健康教育的工作量。</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●系统支持查看危急值、转诊预警、待建档、待管理的消息提醒。</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支持常用功能快捷入口功能，可根据需求添加、修改、删除快捷菜单。</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●支持查看患者风险分布、最新血糖、血压情况，并实时滚动刷新。</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支持查看各病种确诊患者情况、当前登录角色所在机构患者分布情况。</w:t>
            </w:r>
          </w:p>
          <w:p>
            <w:pPr>
              <w:pStyle w:val="null5"/>
              <w:jc w:val="both"/>
            </w:pPr>
            <w:r>
              <w:rPr>
                <w:rFonts w:ascii="仿宋_GB2312" w:hAnsi="仿宋_GB2312" w:cs="仿宋_GB2312" w:eastAsia="仿宋_GB2312"/>
                <w:sz w:val="24"/>
                <w:b/>
              </w:rPr>
              <w:t>（二）工作台</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系统提供工作台功能，支持通过读取识别患者身份证，查看需处理任务，进入任务处理功能。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支持慢病筛查二维码功能，支持筛查二维码打印，分享给患者扫描二维码，进行慢病主动筛查。</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可根据需求设置待筛查、待确诊、待完善档案、今日待随访、出院待随访、待干预、上下转诊、待培训、待考试任务。</w:t>
            </w:r>
          </w:p>
          <w:p>
            <w:pPr>
              <w:pStyle w:val="null5"/>
              <w:jc w:val="both"/>
            </w:pPr>
            <w:r>
              <w:rPr>
                <w:rFonts w:ascii="仿宋_GB2312" w:hAnsi="仿宋_GB2312" w:cs="仿宋_GB2312" w:eastAsia="仿宋_GB2312"/>
                <w:sz w:val="24"/>
                <w:b/>
              </w:rPr>
              <w:t>（三）病池源</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系统支持医院门诊日志查询，支持按慢病病种后台自动分析门诊日志，实现已确诊慢病患者自动纳入管理，并自动分析患者门诊检查、化验报告自动分析出各病种疑似患者，提醒确诊纳入管理。</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系统支持医院住院日志查询，支持按慢病病种后台自动分析住院日志，实现已确诊慢病患者自动纳入管理，并自动分析患者住院检查、化验报告自动分析出各病种疑似患者，提醒确诊纳入管理。</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系统支持查询自主建档人群，支持按照建档时间、管理状态、分配管理团队将患者纳入管理。</w:t>
            </w:r>
          </w:p>
          <w:p>
            <w:pPr>
              <w:pStyle w:val="null5"/>
              <w:jc w:val="both"/>
            </w:pPr>
            <w:r>
              <w:rPr>
                <w:rFonts w:ascii="仿宋_GB2312" w:hAnsi="仿宋_GB2312" w:cs="仿宋_GB2312" w:eastAsia="仿宋_GB2312"/>
                <w:sz w:val="24"/>
                <w:b/>
              </w:rPr>
              <w:t>（四）一般人群</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系统支持一般人群管理，包含档案、健康总览、健康趋势、健康处方、数据总览等数据管理，支持单个或批量推送消息通知、宣教。</w:t>
            </w:r>
          </w:p>
          <w:p>
            <w:pPr>
              <w:pStyle w:val="null5"/>
              <w:jc w:val="both"/>
            </w:pPr>
            <w:r>
              <w:rPr>
                <w:rFonts w:ascii="仿宋_GB2312" w:hAnsi="仿宋_GB2312" w:cs="仿宋_GB2312" w:eastAsia="仿宋_GB2312"/>
                <w:sz w:val="24"/>
                <w:b/>
              </w:rPr>
              <w:t>（五）高危人群</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支持高危人群总览，支持归属机构、管理状态、管理团队、团队分组、管理人、病种、时间的条件查询并管理高危人群。</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高血压高危人群、糖尿病高危人群、慢阻肺高危人群、冠心病高危人群、肾脏病高危人群、脑卒中高危人群管理，支持归属机构、管理状态、管理团队、团队分组、管理人、病种、时间的条件查询并管理高危人群。</w:t>
            </w:r>
          </w:p>
          <w:p>
            <w:pPr>
              <w:pStyle w:val="null5"/>
              <w:jc w:val="both"/>
            </w:pPr>
            <w:r>
              <w:rPr>
                <w:rFonts w:ascii="仿宋_GB2312" w:hAnsi="仿宋_GB2312" w:cs="仿宋_GB2312" w:eastAsia="仿宋_GB2312"/>
                <w:sz w:val="24"/>
                <w:b/>
              </w:rPr>
              <w:t>（六）慢病患者</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支持慢病患者总览，支持归属机构、病种分类、患者分级、管理状态、管理团队、团队分组、管理人、时间的条件查询并管理慢病患者。</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系统支持将已确诊的慢病患者自动分级：极高危、高危、中危、低危，给医护人员提供参考从而选择重点关注处理的患者。</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支持高血压患者、糖尿病患者、慢阻肺患者、冠心病患者、肾脏病患者、脑卒中患者管理，支持归属机构、病种分类、患者分级、管理状态、管理团队、团队分组、管理人、时间的条件查询并管理慢病患者。</w:t>
            </w:r>
          </w:p>
          <w:p>
            <w:pPr>
              <w:pStyle w:val="null5"/>
              <w:jc w:val="both"/>
            </w:pPr>
            <w:r>
              <w:rPr>
                <w:rFonts w:ascii="仿宋_GB2312" w:hAnsi="仿宋_GB2312" w:cs="仿宋_GB2312" w:eastAsia="仿宋_GB2312"/>
                <w:sz w:val="24"/>
                <w:b/>
              </w:rPr>
              <w:t>（七）慢病筛查</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支持待筛查人群、高危待复筛、筛查记录查询。</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支持收集患者病症症状、生活方式、辅助检查的信息，并通过智能设备血糖仪、血压计、身高/体脂称自动采集相关设备对应的检测数据。</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支持依据病种筛查标准及自动采集到数据实现患者是某个慢病病种是否疑似自动提醒。</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支持对患者进行诊前筛查和随访后通过采集的信息系统可自动识别该患者是否符合慢病对应指标，进行人群分组统一进入病源池管理。</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支持对当前患者实现各种评估：睡眠呼吸暂停初筛量表、COPD人群筛查评分表、汉密尔顿抑郁量表(HAMD)、营养食欲调查表(SNAQ)、改良呼吸困难指数(mMRC)、中国糖尿病风险评分。</w:t>
            </w:r>
          </w:p>
          <w:p>
            <w:pPr>
              <w:pStyle w:val="null5"/>
              <w:jc w:val="both"/>
            </w:pPr>
            <w:r>
              <w:rPr>
                <w:rFonts w:ascii="仿宋_GB2312" w:hAnsi="仿宋_GB2312" w:cs="仿宋_GB2312" w:eastAsia="仿宋_GB2312"/>
                <w:sz w:val="24"/>
                <w:b/>
              </w:rPr>
              <w:t>（八）诊前管理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支持通过获取当前管理科室就诊的挂号患者，实现诊前筛查。</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●支持将筛查患者分类：计划内未筛查、计划内已筛查。</w:t>
            </w:r>
          </w:p>
          <w:p>
            <w:pPr>
              <w:pStyle w:val="null5"/>
              <w:jc w:val="both"/>
            </w:pPr>
            <w:r>
              <w:rPr>
                <w:rFonts w:ascii="仿宋_GB2312" w:hAnsi="仿宋_GB2312" w:cs="仿宋_GB2312" w:eastAsia="仿宋_GB2312"/>
                <w:sz w:val="24"/>
                <w:b/>
              </w:rPr>
              <w:t>（九）诊中管理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与his连接，自动提取相关慢病病种诊室当前挂号信息，自动生产就诊队列。</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●支持查看就诊患者是否是慢病患者，可查看患者诊前筛查记录、健康总览：最近一个月、三个月、一年的最新诊断、体征数据、用药情况、异常检验、手术情况、生活情况、风险评估情况。</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支持患者的辅助诊断功能，依据相关指南及标准定义各病种的辅助检查项目，自动获取检查结果，提醒医护人员是否对患者进行确诊，或转诊。</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支持诊疗方案功能，可新增饮食计划、运动计划、用药计划、随访计划、检查/化验计划，并提供方案模板，医生可以引用模板，也可将自己定义的计划存为模板，所有计划可推送到患者手机端查看。</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●支持自动计算患者的健康详情，可查看患者的健康指数、风险管理指数、执行路径、某天的详细执行内容（执行内容PC端、移动小程序端同步）、最近体征数据曲线图。</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支持依据患者的检查、检验、体征数据自动对某个患者进行健康评估，为医生提供相关患者的风险指数。</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支持患者健康处方，且系统已包含至少百种健康处方内容，生成健康处方后可推送到患者手机端查看。</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对当前患者实现各种评估：心脑血管病风险评估、高血压管理分级评估、中国糖尿病风险评分、慢阻肺管理分组评估、冠心病管理分级评估、肾脏病管理分级评估、脑卒中管理分级评估、慢阻肺气流受限严重程度的肺功能分级、慢阻肺合并症评估、高血压合并症评估、糖尿病合并症评估、冠心病合并症评估、肾脏病合并症评估、脑卒中合并症评估、慢阻肺合并症评估。</w:t>
            </w:r>
          </w:p>
          <w:p>
            <w:pPr>
              <w:pStyle w:val="null5"/>
              <w:jc w:val="both"/>
            </w:pPr>
            <w:r>
              <w:rPr>
                <w:rFonts w:ascii="仿宋_GB2312" w:hAnsi="仿宋_GB2312" w:cs="仿宋_GB2312" w:eastAsia="仿宋_GB2312"/>
                <w:sz w:val="24"/>
                <w:b/>
              </w:rPr>
              <w:t>（十）诊后管理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支持待完善档案功能：根据患者诊中信息已确诊慢病但档案未完善，未建档进行展示进行档案的完善建立。</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支持在管患者功能：可查看团队及个人已管理患者，查看对应患者的健康总览，治疗路径，诊疗方案，健康处方，健康评估，档案详情，用药提醒，进行患者诊后随访，健康教育和治疗方案的消息发送提醒。</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●支持待干预（异常）患者功能：系统自动提取慢病患者最近的检查、检验报告，自动分析出异常指标，并将该类患者纳入到待干预队列。</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提供饮食计划、用药计划、运动计划、随访计划、检验/检查计划功能，计划可从模板中直接引用，也可将某个计划另存为模板，可将上述计划直接推送到患者移动端，让患者在移动端直接获取计划信息。</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新增干预计划时给患者配置定时任务，平台将根据干预日期、任务时间，定时提醒患者去完成任务。</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支持患者在线互动功能：团队人员可与患者进行在线消息互动咨询，可实现根据患者咨询问题自动回复对应信息，管理人员可进行自动回复消息模板编辑设置。</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支持我的团队功能：可查看团队管理信息，管理慢病分级信息，服务累计次数及慢病管理效果。</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支持患者随访功能：进行对应患者随访添加，同步回传至公卫系统，查看患者历史随访记录。</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提供宣教计划和宣教课堂功能：管理人员中心人员进行相应的宣教计划设置并推送消息通知患者进行参加宣教，患者参加宣教完成后可获取对应积分兑换医院相应的检验检查项目。</w:t>
            </w:r>
          </w:p>
          <w:p>
            <w:pPr>
              <w:pStyle w:val="null5"/>
              <w:jc w:val="both"/>
            </w:pPr>
            <w:r>
              <w:rPr>
                <w:rFonts w:ascii="仿宋_GB2312" w:hAnsi="仿宋_GB2312" w:cs="仿宋_GB2312" w:eastAsia="仿宋_GB2312"/>
                <w:sz w:val="24"/>
                <w:b/>
              </w:rPr>
              <w:t>（十一）双向转诊</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系统提供中心医院-社区/乡镇上下转诊功能。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转诊时支持转诊原因、病情描述、用药信息描述。</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支持患者满足相应转诊指标后自动提示预警转诊。</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支持转诊任务提醒。</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支持转诊队列详细列表浏览。</w:t>
            </w:r>
          </w:p>
          <w:p>
            <w:pPr>
              <w:pStyle w:val="null5"/>
              <w:jc w:val="both"/>
            </w:pPr>
            <w:r>
              <w:rPr>
                <w:rFonts w:ascii="仿宋_GB2312" w:hAnsi="仿宋_GB2312" w:cs="仿宋_GB2312" w:eastAsia="仿宋_GB2312"/>
                <w:sz w:val="24"/>
                <w:b/>
              </w:rPr>
              <w:t>（十二）随访管理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支持慢病数据（血压、血糖、心率、体重）采集的数据，自动写入到相应的表单内，方便医生快速完成随访工作。</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随访数据支持与公卫同步互通，查看，数据共享。</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系统支持按照设置的随访任务，到期自动提醒需要随访的居民列表。</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支持浏览和提取最近一次诊前随访内容方便医生在上一次随访内容基础进行本次随访。</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支持快速方便展示随访的控制情况，随访次数，上次随访日期和下次随访日期。</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●支持移动端患者小程序上提供随访功能，由患者在移动端完成随访。</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支持随访提醒功能，自动生成当日、本周、本月、本季度待随访队列。</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支持多病种随访合并提醒功能，并能实现多病种合并随访。</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支持无效随访功能。</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支持提供智能电话语音随访功能，供院方选择。</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系统须以患者为中心，覆盖从筛查、建档、评估、干预、随访到转归的全流程闭环管理，并支持多种随访方式协同应用。</w:t>
            </w:r>
          </w:p>
          <w:p>
            <w:pPr>
              <w:pStyle w:val="null5"/>
              <w:jc w:val="both"/>
            </w:pPr>
            <w:r>
              <w:rPr>
                <w:rFonts w:ascii="仿宋_GB2312" w:hAnsi="仿宋_GB2312" w:cs="仿宋_GB2312" w:eastAsia="仿宋_GB2312"/>
                <w:sz w:val="24"/>
                <w:b/>
              </w:rPr>
              <w:t>（十三）疾病风险评估管理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通过对患者定期做常规检查、特殊检查，及时了解患者的病情发展，并将数据自动填充到结构化疾病风险量表中，实现慢病患者疾病发展评估。</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系统支持新增风险评估表及浏览历史风险评估记录。</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系统支持疾病风险评估表按需求结构化定制及按权限控制编辑。</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对患者进行患病风险评估、心理评估、中医体质辨识，并呈现风险级别，展示相关危险因素，形成健康管理报告。</w:t>
            </w:r>
          </w:p>
          <w:p>
            <w:pPr>
              <w:pStyle w:val="null5"/>
              <w:jc w:val="both"/>
            </w:pPr>
            <w:r>
              <w:rPr>
                <w:rFonts w:ascii="仿宋_GB2312" w:hAnsi="仿宋_GB2312" w:cs="仿宋_GB2312" w:eastAsia="仿宋_GB2312"/>
                <w:sz w:val="24"/>
                <w:b/>
              </w:rPr>
              <w:t>（十四）智能提醒</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提供智能消息提醒功能。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支持慢病数据危急值提醒功能。</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支持患者随访到期提醒功能。</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支持患者体检提醒功能。</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●智能提醒提供多种提醒方式：角标、右下角弹窗、弹出界面。</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支持消息提醒关闭功能。</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支持消息提醒间隔时间设置功能，时间间隔按秒为单位。</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根据主要慢性病患者的疾病进程和远程指标监测的情况，自动触发个性化危险预警与提醒功能。</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支持向管理医生进行危险预警提醒，管理医生对危险预警信息处理并标记处理结果，并支持对上述危险预警提醒和处理记录的自动统计和分析。</w:t>
            </w:r>
          </w:p>
          <w:p>
            <w:pPr>
              <w:pStyle w:val="null5"/>
              <w:jc w:val="both"/>
            </w:pPr>
            <w:r>
              <w:rPr>
                <w:rFonts w:ascii="仿宋_GB2312" w:hAnsi="仿宋_GB2312" w:cs="仿宋_GB2312" w:eastAsia="仿宋_GB2312"/>
                <w:sz w:val="24"/>
                <w:b/>
              </w:rPr>
              <w:t>（十五）积分管理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提供患者用户积分功能。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提供用户积分的项目分值设置，扣减，项目兑换，项目新增，编辑功能。</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根据兑换申请生成相应申请单可进行打印。</w:t>
            </w:r>
          </w:p>
          <w:p>
            <w:pPr>
              <w:pStyle w:val="null5"/>
              <w:jc w:val="both"/>
            </w:pPr>
            <w:r>
              <w:rPr>
                <w:rFonts w:ascii="仿宋_GB2312" w:hAnsi="仿宋_GB2312" w:cs="仿宋_GB2312" w:eastAsia="仿宋_GB2312"/>
                <w:sz w:val="24"/>
                <w:b/>
              </w:rPr>
              <w:t>（十六）培训考试</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系统提供培训管理功能。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提供课件管理功能，可编辑、删除课件。</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提供培训计划管理：可新增计划、选择培训方式-线上/线下、培训人员、培训主题。</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可查看我的培训。</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提供培训考试功能。</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提供考试题库维护功能。</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提供考试计划功能。</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●提供我的考试功能。</w:t>
            </w:r>
          </w:p>
          <w:p>
            <w:pPr>
              <w:pStyle w:val="null5"/>
              <w:jc w:val="both"/>
            </w:pPr>
            <w:r>
              <w:rPr>
                <w:rFonts w:ascii="仿宋_GB2312" w:hAnsi="仿宋_GB2312" w:cs="仿宋_GB2312" w:eastAsia="仿宋_GB2312"/>
                <w:sz w:val="24"/>
                <w:b/>
              </w:rPr>
              <w:t>（十七）家医管理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系统提供家医管理功能。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提供家医服务包、专科服务包维护功能。</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提供签约审批管理功能。</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提供续约管理功能。</w:t>
            </w:r>
          </w:p>
          <w:p>
            <w:pPr>
              <w:pStyle w:val="null5"/>
              <w:jc w:val="both"/>
            </w:pPr>
            <w:r>
              <w:rPr>
                <w:rFonts w:ascii="仿宋_GB2312" w:hAnsi="仿宋_GB2312" w:cs="仿宋_GB2312" w:eastAsia="仿宋_GB2312"/>
                <w:sz w:val="24"/>
                <w:b/>
              </w:rPr>
              <w:t>（十八）知识库</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提供健康宣教知识库增删改查维护功能。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提供治疗干预知识库增删改查维护功能。</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提供医护培训知识库增删改查维护功能。</w:t>
            </w:r>
          </w:p>
          <w:p>
            <w:pPr>
              <w:pStyle w:val="null5"/>
              <w:jc w:val="both"/>
            </w:pPr>
            <w:r>
              <w:rPr>
                <w:rFonts w:ascii="仿宋_GB2312" w:hAnsi="仿宋_GB2312" w:cs="仿宋_GB2312" w:eastAsia="仿宋_GB2312"/>
                <w:sz w:val="24"/>
                <w:b/>
              </w:rPr>
              <w:t>（十九）绩效管理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提供社区个人绩效功能：可查询社区个人慢病当前管理人数、新增管理人数、建档人数、随访人次、诊疗人次、初筛人次、诊前筛查人次、健康教育次数、其他评估次数、分级评估次数、健康处方次数、定制方案次数、随访人数。</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提供医护管理绩效功能：可查询医护慢病当前管理人数、新增管理人数、建档人数、随访人次、诊疗人次、初筛人次、诊前筛查人次、健康教育次数、其他评估次数、分级评估次数、健康处方次数、定制方案次数、随访满意人数、管理率。</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提供机构管理绩效功能：可查询机构慢病归属机构人数、当前管理人数、新增管理人数、建档人数、血压上传的次数、血压上传的人数、患者询问次数、医生回复次数、沟通患者数、随访人次、诊疗人次、初筛人次、诊前筛查人次、健康教育次数、其他评估次数、分级评估次数、健康处方次数、定制方案次数、管理率、控制率。</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各种管理数据分析：病种发病率、主要慢病建档人数、各病种高危人群建档人数、脱落管理患者人数、需进行特定检查患者人数、中心医院接收的上转申请的高危人数、中心（县）医院高血压和（或）糖尿病稳定期患者人数、中心（县）医院其他主要慢性病稳定期患者人数、高血压患者就诊率/复诊率/血生化检查率/尿常规检查率按要求的检查率、糖尿病患者就诊率/复诊率按要求需做的检查率、冠心病患者就诊率/复诊率按要求需做的检查率、脑卒中病患者就诊率/复诊率按要求需做的检查率、慢阻肺患者就诊率/复诊率按要求需做的检查率、肾脏病患者就诊率/复诊率按要求需做的检查率、主要慢性病高危人群的生活方式管理效果指标（慢性病高危人群生活方式指导率）、主要慢性病患者的生活方式管理效果指标（慢性病患者生活方式指导率）、双向转诊统计。</w:t>
            </w:r>
          </w:p>
          <w:p>
            <w:pPr>
              <w:pStyle w:val="null5"/>
              <w:jc w:val="both"/>
            </w:pPr>
            <w:r>
              <w:rPr>
                <w:rFonts w:ascii="仿宋_GB2312" w:hAnsi="仿宋_GB2312" w:cs="仿宋_GB2312" w:eastAsia="仿宋_GB2312"/>
                <w:sz w:val="24"/>
                <w:b/>
              </w:rPr>
              <w:t>（二十）档案管理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支持居民健康档案管理功能：可添加，完善居民健康档案信息并同步回传至公卫系统。</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支持慢病病种档案管理：并提供医疗机构、病种、患者、建档时间、注册小程序查询条件，选择某个患者可查看患者详情、评估记录、流程追溯、个人健康报告、支持集成院内360视图，可新增风险评估。</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实现专病管理，实现某个患者新增筛查、随访、转诊，可浏览筛查记录、随访记录、转诊记录。</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专病管理中可将某个患者标注：封存、死亡、失联、注销。</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专病管理中可直观显示某个患者档案状态：已完成、未完成；管理状态：未纳入管理、已纳入管理；管理情况：无管理团队、有管理团队。</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在基本信息档案信息内容基础上，提供体征数据监测、体检报告、就诊记录视图，实现在一个界面对患者的全方位的动态档案管理。</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提供慢病专案管理页面，医护人员可为患者设置管理团队，可从页面查看详情、干预计划、健康评估功能。</w:t>
            </w:r>
          </w:p>
          <w:p>
            <w:pPr>
              <w:pStyle w:val="null5"/>
              <w:jc w:val="both"/>
            </w:pPr>
            <w:r>
              <w:rPr>
                <w:rFonts w:ascii="仿宋_GB2312" w:hAnsi="仿宋_GB2312" w:cs="仿宋_GB2312" w:eastAsia="仿宋_GB2312"/>
                <w:sz w:val="24"/>
                <w:b/>
              </w:rPr>
              <w:t>（二十一）数据分析</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查看各级医疗卫生机构、专业管理人员的慢病管理质量控制和实施情况监管，记录医共体内各级医疗卫生机构、专业管理人员的慢病管理行为，与制定的慢病管理计划进行对照分析，掌握其慢病管理工作量、完成进度和质量，对未按照计划完成、记录不全、信息不真实、 质量不达标慢病管理行为进行提示。</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各级医疗卫生机构和人员的主要慢性病管理效果的可视化统计和分析，并支持县域慢病管理中心评审数据的分析上报。包括人群分类结果、疾病分类结果、建档自动统计患者总数信息，以患者为单位按管理流程多方位呈现筛查、检验检查、诊疗、随诊随访信息，可视化展示主要慢性病质控管理评估指标、生活方式管理效果指标、主要慢性病综合管理指标结果性数据。</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可自动统计管理医生和管理人群使用线上随访工具比例、慢性病患者和   高危人群随访管理比例相关随访数据。</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支持远程血糖、血压指标的动态测量数据，自动生成数据统计报表。</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根据主要慢性病患者的远程指标监测危险预警记录和处理记录的自动统计和分析。</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支持医务工作者进行对慢性病患者的诊疗，用药指导相关数据进行自动统计分析。</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支持患者通过自评及自我管理计划的管理数据进行自动统计分析。</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支持对慢性病患者推送的健康教育内容推送记录进行自动统计分析。</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支持对机构的各慢病患者的门诊及住院就诊人数及就诊次数进行自动统计分析。</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支持对机构管理人数及注册未注册小程序的人数进行自动的统计分析。</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支持自定义报表功能，可按医院实际需求定制。</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系统须具备完善的数据统计、分析及报表生成能力，支持多维度、多层级的数据应用场景，满足医院日常运营、质量控制、绩效考核及公共卫生管理需求。</w:t>
            </w:r>
          </w:p>
          <w:p>
            <w:pPr>
              <w:pStyle w:val="null5"/>
              <w:jc w:val="both"/>
            </w:pPr>
            <w:r>
              <w:rPr>
                <w:rFonts w:ascii="仿宋_GB2312" w:hAnsi="仿宋_GB2312" w:cs="仿宋_GB2312" w:eastAsia="仿宋_GB2312"/>
                <w:sz w:val="24"/>
                <w:b/>
              </w:rPr>
              <w:t>（二十二）基础配置</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体征预警配置：医护人员可为患者配置各体征安全值范围，以便患者远程上传体征数据后，平台提供预警提示。</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视频宣教配置：医护人员可配置相关视频宣教，提供全院、团队、个人提供方式的选择，为患者推送视频宣教做好基础模版配置。</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视频模版维护：可新增、查看、删除，新增的视频需要审核通过才可以推送给患者。</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资源管理：可新增、编辑、删除，修改后需要重新登录，左侧菜单将更新为最新有效菜单。</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提供诊疗方案模板维护功能。</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提供药品字典维护功能。</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提供周期性的食谱处方模板、运动处方模板，支持对模板进行编辑及新增健康处方。</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培训计划配置：可配置培训课题专业知识，用与培训医护人员专业知识信息。</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题库维护：维护试题可新增、修改、删除。用与考试时引用。</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考试计划：可发布考题，当医护人员进行培训后，可对医护人员对培训的内容进行一个检验，进行考试。</w:t>
            </w:r>
          </w:p>
          <w:p>
            <w:pPr>
              <w:pStyle w:val="null5"/>
              <w:jc w:val="both"/>
            </w:pPr>
            <w:r>
              <w:rPr>
                <w:rFonts w:ascii="仿宋_GB2312" w:hAnsi="仿宋_GB2312" w:cs="仿宋_GB2312" w:eastAsia="仿宋_GB2312"/>
                <w:sz w:val="24"/>
                <w:b/>
              </w:rPr>
              <w:t>（二十三）系统管理</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管理平台具有系统管理功能。</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具有模块任意扩展功能。</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具有用户管理功能，支持用户添加、修改、停用。</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具有角色管理功能，不同的角色支持添加不同的权限，依据权限关联工作任务。</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具有医疗机构维护功能，可任意添加医疗机构。</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具有日志管理工具，可查看异常日志。</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支持菜单自定义、并可排序。</w:t>
            </w:r>
          </w:p>
          <w:p>
            <w:pPr>
              <w:pStyle w:val="null5"/>
              <w:jc w:val="both"/>
            </w:pPr>
            <w:r>
              <w:rPr>
                <w:rFonts w:ascii="仿宋_GB2312" w:hAnsi="仿宋_GB2312" w:cs="仿宋_GB2312" w:eastAsia="仿宋_GB2312"/>
                <w:sz w:val="24"/>
                <w:b/>
              </w:rPr>
              <w:t>二、可视化监控中心软件</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可视化大屏软件内容至少包含：所管理区域人口数、建档人数、各病种的数量、建档率、达标率、管理率。</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可视化大屏软件需提供区域地图，并标识区域主要医疗机构。</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可视化大屏软件可选择单个医疗机构，展现该医疗机构的慢病管理情况。</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慢病监管大屏：可查看慢病患者管理人数；血压、血糖、血脂达标率；人群年龄分布、区域分布、区域管理效果情况。</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管理驾驶舱：管理驾驶舱用于展示管理机构的慢病管理总体情况。</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●可视化大屏软件可选择单个病种，展现区域慢病管理情况、随访进度情况。</w:t>
            </w:r>
          </w:p>
          <w:p>
            <w:pPr>
              <w:pStyle w:val="null5"/>
              <w:jc w:val="both"/>
            </w:pPr>
            <w:r>
              <w:rPr>
                <w:rFonts w:ascii="仿宋_GB2312" w:hAnsi="仿宋_GB2312" w:cs="仿宋_GB2312" w:eastAsia="仿宋_GB2312"/>
                <w:sz w:val="24"/>
                <w:b/>
              </w:rPr>
              <w:t>三、慢病微信小程序</w:t>
            </w:r>
          </w:p>
          <w:p>
            <w:pPr>
              <w:pStyle w:val="null5"/>
              <w:jc w:val="both"/>
            </w:pPr>
            <w:r>
              <w:rPr>
                <w:rFonts w:ascii="仿宋_GB2312" w:hAnsi="仿宋_GB2312" w:cs="仿宋_GB2312" w:eastAsia="仿宋_GB2312"/>
                <w:sz w:val="24"/>
                <w:b/>
              </w:rPr>
              <w:t>（一）医护人员小程序</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支持条件筛选，选择患者，查看体检报告、查看体征检测数据、维护基础信息操作。</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支持查看患者干预记录、支持新增干预、配置干预任务信息。</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支持单一发送或群发消息。</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支持推送宣教视频。</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可将患者纳入随访池，生成随访任务。</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医护人员为患者编辑推送康复/用药/体检计划内容。</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用户标签：医护人员可通过标签为患者进行分组，通过标签筛选功能，快速匹配相应人群。</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体征检测数据：展示用户近期体征数据变化曲线图，选择相应日期，可查看数值及参考范围，以及异常状态。</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健康评估：选择评估问卷，提交并生成问卷后,点击问卷即可查看详情报告。</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可设置患者健康状况预警，当生命体征出现异常时进行消息提醒。</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提供随访任务查看入口，支持今日、本周、总任务分类，查看随访记录，录入随访结果。</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支持给患者推送用药提醒。</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支持给患者推送复诊提醒。</w:t>
            </w:r>
          </w:p>
          <w:p>
            <w:pPr>
              <w:pStyle w:val="null5"/>
              <w:jc w:val="both"/>
            </w:pPr>
            <w:r>
              <w:rPr>
                <w:rFonts w:ascii="仿宋_GB2312" w:hAnsi="仿宋_GB2312" w:cs="仿宋_GB2312" w:eastAsia="仿宋_GB2312"/>
                <w:sz w:val="24"/>
                <w:b/>
              </w:rPr>
              <w:t>（二）患者健康小程序</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患者注册：患者填写基础信息，采用微信+手机号的方式进行用户注册，支持密码找回。</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●生成条码：自动生成患者条码，智能设备扫描该条码将患者信息自动添加到智能设备上，实现血糖、血压数据患者自动识别、数据自动上传。</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在线挂号：提供在线挂号功能，方便患者复诊挂号。</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报告查询：提供患者检查、化验报告查询功能。</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在线咨询：患者可关注某个医生，可给已关注的医生发送消息，实现医患沟通。</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●患者可查看医护人员配置的干预任务、康复任务、用药设置、随访计划、体检计划模块相关任务。</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健康助手/健康管理：可查看健康宣教视频、健康监测数据、健康记录、干预记录，并支持上传对应项目每日监测数据。</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健康评估：通过完成健康问卷，即可查看报告及体检推荐。</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用户积分：患者通过注册小程序、登录并上传数据可获得积分，可兑换检查项目。</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●设备绑定：患者在家监测血糖，可通过绑定血糖仪设备，监测的数据可自动上传到小程序上。</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消息订阅：进行消息订阅后，可接收医生推送的信息，录入宣教记录，复诊提醒消息。</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智能设备连接：系统支持智能体征设备连接实现数据采集。</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体征录入：将线下测量的血压、血糖、身高体重腰围体征录入到平台。</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●支持家庭人员维护，实现当患者年纪大不能使用智能手机时，由家庭成员代为接收消息及提醒。</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随访任务：查看自己的随访任务计划，参与随访。</w:t>
            </w:r>
          </w:p>
          <w:p>
            <w:pPr>
              <w:pStyle w:val="null5"/>
              <w:jc w:val="both"/>
            </w:pPr>
            <w:r>
              <w:rPr>
                <w:rFonts w:ascii="仿宋_GB2312" w:hAnsi="仿宋_GB2312" w:cs="仿宋_GB2312" w:eastAsia="仿宋_GB2312"/>
                <w:sz w:val="24"/>
                <w:b/>
              </w:rPr>
              <w:t>四、AI功能拓展-对接医院DeepSeek服务器</w:t>
            </w:r>
          </w:p>
          <w:p>
            <w:pPr>
              <w:pStyle w:val="null5"/>
              <w:jc w:val="both"/>
            </w:pPr>
            <w:r>
              <w:rPr>
                <w:rFonts w:ascii="仿宋_GB2312" w:hAnsi="仿宋_GB2312" w:cs="仿宋_GB2312" w:eastAsia="仿宋_GB2312"/>
                <w:sz w:val="24"/>
              </w:rPr>
              <w:t>支持对接智能算力服务器(本地化部署)，对接deepseek，实现：</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智能解答患者提问、异常情况智能提醒；</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智能生成干预方案（用药、检查、运动、饮食、心理干预）。</w:t>
            </w:r>
          </w:p>
          <w:p>
            <w:pPr>
              <w:pStyle w:val="null5"/>
              <w:jc w:val="both"/>
            </w:pPr>
            <w:r>
              <w:rPr>
                <w:rFonts w:ascii="仿宋_GB2312" w:hAnsi="仿宋_GB2312" w:cs="仿宋_GB2312" w:eastAsia="仿宋_GB2312"/>
                <w:sz w:val="24"/>
                <w:b/>
              </w:rPr>
              <w:t>五、筛查对接硬件设备-对接血糖仪</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支持对接筛查设备智能血糖仪。</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支持对接的筛查设备数据自动上传到慢病系统中。</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在慢性病系统中以曲线的形式展示相关血糖数据。</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血糖仪为智能一体机，支持患者身份识别和血糖数据检测及自动上传，同时支持对接血压数据实时上传至工作站。</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●传输方式：至少支持type-C口充电方式，支持盲插；至少支持4G、wifi、蓝牙通信传输。</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血糖仪具有医嘱识别功能，能提示血糖医嘱次数及已监测次数、当前时间段应检测患者以及胰岛素对接功能。</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自动退条功能，具有正面试纸退条功能，方便操作者单手操作，避免医患交叉感染。</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具有智能纠错功能，智能识别试纸过期、酒精未干、试纸受潮因素的影响，保障测试结果的精准可靠，具有快速备注、复测提醒、外出及拒测标识，满足临床使用需求。</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多场景功能切换功能，智能血糖仪满足住院、门诊、社区不同场景慢病管理使用，支持通过身份证读卡器或手机二维码读取身份证信息，支持社区筛查功能，血糖仪支持嵌入随访量表，表单可根据医院要求定制。</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智能血糖仪支持质控锁机功能，可根据临床需求设置质控锁机时间，未做质控不能进行临床患者检测；支持实时传输血糖仪质控数据至血糖管理软件做质控归档管理。</w:t>
            </w:r>
          </w:p>
          <w:p>
            <w:pPr>
              <w:pStyle w:val="null5"/>
              <w:jc w:val="both"/>
            </w:pPr>
            <w:r>
              <w:rPr>
                <w:rFonts w:ascii="仿宋_GB2312" w:hAnsi="仿宋_GB2312" w:cs="仿宋_GB2312" w:eastAsia="仿宋_GB2312"/>
                <w:sz w:val="24"/>
                <w:b/>
              </w:rPr>
              <w:t>六、药品库存共享</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支持对不同的机构设置不同的药品查询权限和范围</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支持药品库存互查。系统需通过接口与医共体内各成员单位的His系统对接，建立统一的药品目录映射关系。当本院某种药品库存不足时，医生可在开具处方或者制定治疗方案时，一键查询医共体内其他医疗机构的实时药品库存（包括通用名、规格、库存量、有效期等基本信息）</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在查询到他院有药后，系统需支持生成跨院购药指引单，引导患者前往有药的医疗机构购药，并支持后续诊疗信息的回溯。</w:t>
            </w:r>
          </w:p>
          <w:p>
            <w:pPr>
              <w:pStyle w:val="null5"/>
              <w:jc w:val="both"/>
            </w:pPr>
            <w:r>
              <w:rPr>
                <w:rFonts w:ascii="仿宋_GB2312" w:hAnsi="仿宋_GB2312" w:cs="仿宋_GB2312" w:eastAsia="仿宋_GB2312"/>
                <w:sz w:val="24"/>
                <w:b/>
              </w:rPr>
              <w:t>七、病种要求</w:t>
            </w:r>
          </w:p>
          <w:p>
            <w:pPr>
              <w:pStyle w:val="null5"/>
              <w:jc w:val="both"/>
            </w:pPr>
            <w:r>
              <w:rPr>
                <w:rFonts w:ascii="仿宋_GB2312" w:hAnsi="仿宋_GB2312" w:cs="仿宋_GB2312" w:eastAsia="仿宋_GB2312"/>
                <w:sz w:val="24"/>
              </w:rPr>
              <w:t>要求符合《【2025版】县域慢病管理中心建设总体方案与评价标准》中规定的开展高血压、糖尿病、慢性阻塞性肺疾病、冠心病、脑卒中、</w:t>
            </w:r>
          </w:p>
          <w:p>
            <w:pPr>
              <w:pStyle w:val="null5"/>
              <w:jc w:val="left"/>
            </w:pPr>
            <w:r>
              <w:rPr>
                <w:rFonts w:ascii="仿宋_GB2312" w:hAnsi="仿宋_GB2312" w:cs="仿宋_GB2312" w:eastAsia="仿宋_GB2312"/>
                <w:sz w:val="24"/>
              </w:rPr>
              <w:t>慢性肾脏病等主要慢性病管理。</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技术支持与售后服务</w:t>
            </w:r>
          </w:p>
        </w:tc>
        <w:tc>
          <w:tcPr>
            <w:tcW w:type="dxa" w:w="4153"/>
          </w:tcPr>
          <w:p>
            <w:pPr>
              <w:pStyle w:val="null5"/>
              <w:jc w:val="left"/>
            </w:pPr>
            <w:r>
              <w:rPr>
                <w:rFonts w:ascii="仿宋_GB2312" w:hAnsi="仿宋_GB2312" w:cs="仿宋_GB2312" w:eastAsia="仿宋_GB2312"/>
              </w:rPr>
              <w:t>培训服务：提供至少4场次以上的现场培训以及完整的系统操作手册。 免费维保：提供至少1年的免费质保期，质保期内免费修复BUG及进行必要的政策性接口改造。质保期满后按4%收取维保费。 版本升级：医院使用软件期间，免费进行版本升级。 1.6 接口与费用说明 投标方案须包含与总院信息系统、医共体医院信息系统、公卫信息系统的接口费用，报价中包含接口费预算10万元，若实际接口费用与预算金额出现偏差将执行如下条款：1）接口费用超过10万元，超过部分由医院自行承担；2）接口费不足10万元，余额部分将转为质保期后维保费用。</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自合同签订之日起60日内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乳山市人民医院（乳山市康复医院）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1、合同签订后支付，达到付款条件起3日，支付合同总金额的30.00%</w:t>
            </w:r>
          </w:p>
          <w:p>
            <w:pPr>
              <w:pStyle w:val="null5"/>
              <w:jc w:val="left"/>
            </w:pPr>
            <w:r>
              <w:rPr>
                <w:rFonts w:ascii="仿宋_GB2312" w:hAnsi="仿宋_GB2312" w:cs="仿宋_GB2312" w:eastAsia="仿宋_GB2312"/>
              </w:rPr>
              <w:t>2、验收合格后，达到付款条件起3日，支付合同总金额的50.00%</w:t>
            </w:r>
          </w:p>
          <w:p>
            <w:pPr>
              <w:pStyle w:val="null5"/>
              <w:jc w:val="left"/>
            </w:pPr>
            <w:r>
              <w:rPr>
                <w:rFonts w:ascii="仿宋_GB2312" w:hAnsi="仿宋_GB2312" w:cs="仿宋_GB2312" w:eastAsia="仿宋_GB2312"/>
              </w:rPr>
              <w:t>3、免费维保期后，达到付款条件起3日，支付合同总金额的20.00%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 、第三章“技术、服务及其他要求”中“3.2.技术要求 ”，“3.3. 服务要求 ”：</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 、第七章“拟签订采购合同文本 ”：</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 。磋商小组对磋商文件作出的实质性变动是磋商文件的有效组成部分，磋商小组应及时以书面形式通知所有参加磋商的供应商。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 、根据《中华人民共和国政府采购法》《中华人民共和国政 府采购法实施条例》《政府采购非招标采购方式管理办法》等法律制度规定， 结合本采购项目特点制定本次竞争性磋商评审办法。</w:t>
      </w:r>
    </w:p>
    <w:p>
      <w:pPr>
        <w:pStyle w:val="null5"/>
        <w:ind w:firstLine="480"/>
        <w:jc w:val="left"/>
      </w:pPr>
      <w:r>
        <w:rPr>
          <w:rFonts w:ascii="仿宋_GB2312" w:hAnsi="仿宋_GB2312" w:cs="仿宋_GB2312" w:eastAsia="仿宋_GB2312"/>
        </w:rPr>
        <w:t>二 、评审工作由代理机构组织，具体评审事务由依法组建的谈判小组负责。磋商小组由采购人代表和评审专家组成。</w:t>
      </w:r>
    </w:p>
    <w:p>
      <w:pPr>
        <w:pStyle w:val="null5"/>
        <w:ind w:firstLine="480"/>
        <w:jc w:val="left"/>
      </w:pPr>
      <w:r>
        <w:rPr>
          <w:rFonts w:ascii="仿宋_GB2312" w:hAnsi="仿宋_GB2312" w:cs="仿宋_GB2312" w:eastAsia="仿宋_GB2312"/>
        </w:rPr>
        <w:t>三 、评审工作应遵循客观、公正、审慎的原则， 根据磋商文件规定的评审程序、评审方法和评审标准进行独立评审。</w:t>
      </w:r>
    </w:p>
    <w:p>
      <w:pPr>
        <w:pStyle w:val="null5"/>
        <w:ind w:firstLine="480"/>
        <w:jc w:val="left"/>
      </w:pPr>
      <w:r>
        <w:rPr>
          <w:rFonts w:ascii="仿宋_GB2312" w:hAnsi="仿宋_GB2312" w:cs="仿宋_GB2312" w:eastAsia="仿宋_GB2312"/>
        </w:rPr>
        <w:t>四 、本项目采取电子评审，通过交易系统完成评审工作。磋商小组成员、采购人、代理机构和供应商应当按照本磋商文件规定和交易系统操作要求开展或者参加评审活动。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 、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 、评审过程应当独立、保密，任何单位和个人不得非法干预 评审活动。代理机构、采购人及其工作人员、采购人监督人员违法 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 、磋商小组成员应当满足并适应电子化采购评审的工作需要，登录交易系统进入项目评审功能模块确认身份、签到、推荐磋商小 组组长。采购人代表可以使用采购人代表专用签章确认评审意见。</w:t>
      </w:r>
    </w:p>
    <w:p>
      <w:pPr>
        <w:pStyle w:val="null5"/>
        <w:ind w:firstLine="480"/>
        <w:jc w:val="left"/>
      </w:pPr>
      <w:r>
        <w:rPr>
          <w:rFonts w:ascii="仿宋_GB2312" w:hAnsi="仿宋_GB2312" w:cs="仿宋_GB2312" w:eastAsia="仿宋_GB2312"/>
        </w:rPr>
        <w:t>三 、磋商小组成员获取解密后的响应文件，开展评审活动。出现评审专家请假 、回避等情况时，采购人或者代理机构按规定申请 补充抽取评审专家。无法及时补充抽取的，采购人或者代理机构应 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 、磋商小组应当履行下列职责：</w:t>
      </w:r>
    </w:p>
    <w:p>
      <w:pPr>
        <w:pStyle w:val="null5"/>
        <w:ind w:firstLine="480"/>
        <w:jc w:val="left"/>
      </w:pPr>
      <w:r>
        <w:rPr>
          <w:rFonts w:ascii="仿宋_GB2312" w:hAnsi="仿宋_GB2312" w:cs="仿宋_GB2312" w:eastAsia="仿宋_GB2312"/>
        </w:rPr>
        <w:t>（一） 熟悉和理解磋商文件；</w:t>
      </w:r>
    </w:p>
    <w:p>
      <w:pPr>
        <w:pStyle w:val="null5"/>
        <w:ind w:firstLine="480"/>
        <w:jc w:val="left"/>
      </w:pPr>
      <w:r>
        <w:rPr>
          <w:rFonts w:ascii="仿宋_GB2312" w:hAnsi="仿宋_GB2312" w:cs="仿宋_GB2312" w:eastAsia="仿宋_GB2312"/>
        </w:rPr>
        <w:t>（二） 审查、评价供应商响应文件等是否满足磋商文件要求；</w:t>
      </w:r>
    </w:p>
    <w:p>
      <w:pPr>
        <w:pStyle w:val="null5"/>
        <w:ind w:firstLine="480"/>
        <w:jc w:val="left"/>
      </w:pPr>
      <w:r>
        <w:rPr>
          <w:rFonts w:ascii="仿宋_GB2312" w:hAnsi="仿宋_GB2312" w:cs="仿宋_GB2312" w:eastAsia="仿宋_GB2312"/>
        </w:rPr>
        <w:t>（三） 对响应文件进行比较和评价；</w:t>
      </w:r>
    </w:p>
    <w:p>
      <w:pPr>
        <w:pStyle w:val="null5"/>
        <w:ind w:firstLine="480"/>
        <w:jc w:val="left"/>
      </w:pPr>
      <w:r>
        <w:rPr>
          <w:rFonts w:ascii="仿宋_GB2312" w:hAnsi="仿宋_GB2312" w:cs="仿宋_GB2312" w:eastAsia="仿宋_GB2312"/>
        </w:rPr>
        <w:t>（四） 根据需要要求采购人、代理机构对磋商文件作出解释；根据需要要求供应商对响应文件有关事项作出澄清、说明或者更 正；</w:t>
      </w:r>
    </w:p>
    <w:p>
      <w:pPr>
        <w:pStyle w:val="null5"/>
        <w:ind w:firstLine="480"/>
        <w:jc w:val="left"/>
      </w:pPr>
      <w:r>
        <w:rPr>
          <w:rFonts w:ascii="仿宋_GB2312" w:hAnsi="仿宋_GB2312" w:cs="仿宋_GB2312" w:eastAsia="仿宋_GB2312"/>
        </w:rPr>
        <w:t>（五） 推荐成交候选供应商，或者受采购人委托确定成交供应 商；</w:t>
      </w:r>
    </w:p>
    <w:p>
      <w:pPr>
        <w:pStyle w:val="null5"/>
        <w:ind w:firstLine="480"/>
        <w:jc w:val="left"/>
      </w:pPr>
      <w:r>
        <w:rPr>
          <w:rFonts w:ascii="仿宋_GB2312" w:hAnsi="仿宋_GB2312" w:cs="仿宋_GB2312" w:eastAsia="仿宋_GB2312"/>
        </w:rPr>
        <w:t>（六） 起草资格审查报告、磋商报告并进行签署；</w:t>
      </w:r>
    </w:p>
    <w:p>
      <w:pPr>
        <w:pStyle w:val="null5"/>
        <w:ind w:firstLine="480"/>
        <w:jc w:val="left"/>
      </w:pPr>
      <w:r>
        <w:rPr>
          <w:rFonts w:ascii="仿宋_GB2312" w:hAnsi="仿宋_GB2312" w:cs="仿宋_GB2312" w:eastAsia="仿宋_GB2312"/>
        </w:rPr>
        <w:t>（七） 向采购人、代理机构或者有关部门报告磋商中发现的违法行为；</w:t>
      </w:r>
    </w:p>
    <w:p>
      <w:pPr>
        <w:pStyle w:val="null5"/>
        <w:ind w:firstLine="480"/>
        <w:jc w:val="left"/>
      </w:pPr>
      <w:r>
        <w:rPr>
          <w:rFonts w:ascii="仿宋_GB2312" w:hAnsi="仿宋_GB2312" w:cs="仿宋_GB2312" w:eastAsia="仿宋_GB2312"/>
        </w:rPr>
        <w:t>（八） 按规定告知供应商，未实质性响应磋商文件的响应文件按无效响应处理；</w:t>
      </w:r>
    </w:p>
    <w:p>
      <w:pPr>
        <w:pStyle w:val="null5"/>
        <w:ind w:firstLine="480"/>
        <w:jc w:val="left"/>
      </w:pPr>
      <w:r>
        <w:rPr>
          <w:rFonts w:ascii="仿宋_GB2312" w:hAnsi="仿宋_GB2312" w:cs="仿宋_GB2312" w:eastAsia="仿宋_GB2312"/>
        </w:rPr>
        <w:t>（九） 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 、磋商文件的规定存在歧义、重大缺陷，导致评审工作无法进行的；</w:t>
      </w:r>
    </w:p>
    <w:p>
      <w:pPr>
        <w:pStyle w:val="null5"/>
        <w:ind w:firstLine="480"/>
        <w:jc w:val="left"/>
      </w:pPr>
      <w:r>
        <w:rPr>
          <w:rFonts w:ascii="仿宋_GB2312" w:hAnsi="仿宋_GB2312" w:cs="仿宋_GB2312" w:eastAsia="仿宋_GB2312"/>
        </w:rPr>
        <w:t>二 、磋商文件明显以不合理条件对供应商实行差别待遇或者歧视待遇的；</w:t>
      </w:r>
    </w:p>
    <w:p>
      <w:pPr>
        <w:pStyle w:val="null5"/>
        <w:ind w:firstLine="480"/>
        <w:jc w:val="left"/>
      </w:pPr>
      <w:r>
        <w:rPr>
          <w:rFonts w:ascii="仿宋_GB2312" w:hAnsi="仿宋_GB2312" w:cs="仿宋_GB2312" w:eastAsia="仿宋_GB2312"/>
        </w:rPr>
        <w:t>三 、采购项目属于国家规定的优先、强制采购范围，但是磋商文件未依法体现优先、强制采购相关规定的；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 、采购项目属于政府采购促进中小企业发展的范围，但是谈判文件未依法体现促进中小企业发展相关规定的；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投标人承诺函、其他材料、中小企业声明函、残疾人福利性单位声明函、自觉抵制政府采购领域商业贿赂行为承诺书、法定代表人资格证明书或法定代表人授权委托书、封面、监狱企业的证明文件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投标人承诺函、商务应答表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商务应答表、技术参数响应表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 、磋商小组按照磋商文件的规定与邀请参加磋商的供应商分别进行磋商，磋商顺序由磋商小组确定。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 、磋商小组所有成员集中与所有供应商对技术、服务、合同条款等内容分别进行一轮或多轮的磋商。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 、磋商小组可以根据磋商文件和磋商情况实质性变动第四章约定的内容， 但不得变动磋商文件中的其他内容。实质性变动的内容，须经采购人代表确认。</w:t>
      </w:r>
    </w:p>
    <w:p>
      <w:pPr>
        <w:pStyle w:val="null5"/>
        <w:ind w:firstLine="480"/>
        <w:jc w:val="left"/>
      </w:pPr>
      <w:r>
        <w:rPr>
          <w:rFonts w:ascii="仿宋_GB2312" w:hAnsi="仿宋_GB2312" w:cs="仿宋_GB2312" w:eastAsia="仿宋_GB2312"/>
        </w:rPr>
        <w:t>四 、对磋商文件作出的实质性变动是磋商文件的有效组成部分，磋商小组应通过交易系统，将变动情况通知本轮次所有参加磋商的供应商。磋商过程中，磋商小组可以根据磋商情况调整磋商轮次。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 、磋商过程中， 供应商可以根据磋商情况变更其响应文件， 并将明确内容以“供应商响应表 ”形式在线提交磋商小组。“供应 商响应表 ”作为响应文件的一部分，应加盖供应商（法定名称）电子印章，否则无效。</w:t>
      </w:r>
    </w:p>
    <w:p>
      <w:pPr>
        <w:pStyle w:val="null5"/>
        <w:ind w:firstLine="480"/>
        <w:jc w:val="left"/>
      </w:pPr>
      <w:r>
        <w:rPr>
          <w:rFonts w:ascii="仿宋_GB2312" w:hAnsi="仿宋_GB2312" w:cs="仿宋_GB2312" w:eastAsia="仿宋_GB2312"/>
        </w:rPr>
        <w:t>六 、经最终磋商后，供应商响应文件仍未实质性响应磋商文件的，磋商小组应当对其响应文件按无效处理，并通过交易系统告知 供应商，说明理由。</w:t>
      </w:r>
    </w:p>
    <w:p>
      <w:pPr>
        <w:pStyle w:val="null5"/>
        <w:ind w:firstLine="480"/>
        <w:jc w:val="left"/>
      </w:pPr>
      <w:r>
        <w:rPr>
          <w:rFonts w:ascii="仿宋_GB2312" w:hAnsi="仿宋_GB2312" w:cs="仿宋_GB2312" w:eastAsia="仿宋_GB2312"/>
        </w:rPr>
        <w:t>七 、磋商过程中，磋商的任何一方不得透露与磋商有关的其他供应商的技术资料、价格和其他信息。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 、磋商过程中，磋商小组发现或者知晓供应商存在违法行为的，应当在磋商报告中予以记录，并向项目同级财政部门报告，依 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 、磋商小组开启报价后，供应商应随时关注交易系统信息提醒，登录交易系统，通过“等候大厅 ”进行报价并签章后提交。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 、最后报价提交后，供应商不得以任何理由撤回。</w:t>
      </w:r>
    </w:p>
    <w:p>
      <w:pPr>
        <w:pStyle w:val="null5"/>
        <w:ind w:firstLine="480"/>
        <w:jc w:val="left"/>
      </w:pPr>
      <w:r>
        <w:rPr>
          <w:rFonts w:ascii="仿宋_GB2312" w:hAnsi="仿宋_GB2312" w:cs="仿宋_GB2312" w:eastAsia="仿宋_GB2312"/>
        </w:rPr>
        <w:t>四 、最后报价为有效报价应符合下列条件：</w:t>
      </w:r>
    </w:p>
    <w:p>
      <w:pPr>
        <w:pStyle w:val="null5"/>
        <w:ind w:firstLine="480"/>
        <w:jc w:val="left"/>
      </w:pPr>
      <w:r>
        <w:rPr>
          <w:rFonts w:ascii="仿宋_GB2312" w:hAnsi="仿宋_GB2312" w:cs="仿宋_GB2312" w:eastAsia="仿宋_GB2312"/>
        </w:rPr>
        <w:t>（一） 供应商所提供的最后报价是在规定的时间内提交。</w:t>
      </w:r>
    </w:p>
    <w:p>
      <w:pPr>
        <w:pStyle w:val="null5"/>
        <w:ind w:firstLine="480"/>
        <w:jc w:val="left"/>
      </w:pPr>
      <w:r>
        <w:rPr>
          <w:rFonts w:ascii="仿宋_GB2312" w:hAnsi="仿宋_GB2312" w:cs="仿宋_GB2312" w:eastAsia="仿宋_GB2312"/>
        </w:rPr>
        <w:t>（二） 供应商的最后报价应加盖供应商（法定名称）电子印章。</w:t>
      </w:r>
    </w:p>
    <w:p>
      <w:pPr>
        <w:pStyle w:val="null5"/>
        <w:ind w:firstLine="480"/>
        <w:jc w:val="left"/>
      </w:pPr>
      <w:r>
        <w:rPr>
          <w:rFonts w:ascii="仿宋_GB2312" w:hAnsi="仿宋_GB2312" w:cs="仿宋_GB2312" w:eastAsia="仿宋_GB2312"/>
        </w:rPr>
        <w:t>（三） 供应商的最后报价应符合磋商文件的要求。</w:t>
      </w:r>
    </w:p>
    <w:p>
      <w:pPr>
        <w:pStyle w:val="null5"/>
        <w:ind w:firstLine="480"/>
        <w:jc w:val="left"/>
      </w:pPr>
      <w:r>
        <w:rPr>
          <w:rFonts w:ascii="仿宋_GB2312" w:hAnsi="仿宋_GB2312" w:cs="仿宋_GB2312" w:eastAsia="仿宋_GB2312"/>
        </w:rPr>
        <w:t>（四） 最后报价唯一，且不高于最高限价。</w:t>
      </w:r>
    </w:p>
    <w:p>
      <w:pPr>
        <w:pStyle w:val="null5"/>
        <w:ind w:firstLine="480"/>
        <w:jc w:val="left"/>
      </w:pPr>
      <w:r>
        <w:rPr>
          <w:rFonts w:ascii="仿宋_GB2312" w:hAnsi="仿宋_GB2312" w:cs="仿宋_GB2312" w:eastAsia="仿宋_GB2312"/>
        </w:rPr>
        <w:t>五 、最后报价出现下列情况的，除磋商文件另有规定外，按以下原则处理：</w:t>
      </w:r>
    </w:p>
    <w:p>
      <w:pPr>
        <w:pStyle w:val="null5"/>
        <w:ind w:firstLine="480"/>
        <w:jc w:val="left"/>
      </w:pPr>
      <w:r>
        <w:rPr>
          <w:rFonts w:ascii="仿宋_GB2312" w:hAnsi="仿宋_GB2312" w:cs="仿宋_GB2312" w:eastAsia="仿宋_GB2312"/>
        </w:rPr>
        <w:t>（一） 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 单价金额小数点或者百分比有明显错位的，应以总价为准，并修改单价；</w:t>
      </w:r>
    </w:p>
    <w:p>
      <w:pPr>
        <w:pStyle w:val="null5"/>
        <w:ind w:firstLine="480"/>
        <w:jc w:val="left"/>
      </w:pPr>
      <w:r>
        <w:rPr>
          <w:rFonts w:ascii="仿宋_GB2312" w:hAnsi="仿宋_GB2312" w:cs="仿宋_GB2312" w:eastAsia="仿宋_GB2312"/>
        </w:rPr>
        <w:t>（三） 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 供应商不确认的，作无效响应处理。</w:t>
      </w:r>
    </w:p>
    <w:p>
      <w:pPr>
        <w:pStyle w:val="null5"/>
        <w:ind w:firstLine="480"/>
        <w:jc w:val="both"/>
      </w:pPr>
      <w:r>
        <w:rPr>
          <w:rFonts w:ascii="仿宋_GB2312" w:hAnsi="仿宋_GB2312" w:cs="仿宋_GB2312" w:eastAsia="仿宋_GB2312"/>
        </w:rPr>
        <w:t>六 、在评审过程中，出现下列情形之一的，评审委员会应当启动异常低价投标（响应）审查程序：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前述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 、澄清 、说明的有关问题</w:t>
      </w:r>
    </w:p>
    <w:p>
      <w:pPr>
        <w:pStyle w:val="null5"/>
        <w:ind w:firstLine="480"/>
        <w:jc w:val="left"/>
      </w:pPr>
      <w:r>
        <w:rPr>
          <w:rFonts w:ascii="仿宋_GB2312" w:hAnsi="仿宋_GB2312" w:cs="仿宋_GB2312" w:eastAsia="仿宋_GB2312"/>
        </w:rPr>
        <w:t>一 、评审过程中，磋商小组认为磋商文件有关事项表述不明确或需要说明的，可以要求采购人或者代理机构书面解释。采购人或者代理机构的解释不得改变磋商文件的原义或者影响公平、公正。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 、对响应文件中含义不明确 、同类问题表述不一致或者有明显文字和计算错误的内容，磋商小组可以要求供应商作出必要的澄清、说明或者更正，并给予供应商必要的反馈时间。供应商应当书面进行澄清、说明或者更正，澄清、说明或者更正不影响响应文件 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 、代理机构宣布评审结束之前，供应商应通过交易系统随时关注评审消息提示，及时响应磋商小组发出的澄清、说明或者更正 要求。供应商未能及时响应的，自行承担不利后果。</w:t>
      </w:r>
    </w:p>
    <w:p>
      <w:pPr>
        <w:pStyle w:val="null5"/>
        <w:ind w:firstLine="480"/>
        <w:jc w:val="left"/>
      </w:pPr>
      <w:r>
        <w:rPr>
          <w:rFonts w:ascii="仿宋_GB2312" w:hAnsi="仿宋_GB2312" w:cs="仿宋_GB2312" w:eastAsia="仿宋_GB2312"/>
        </w:rPr>
        <w:t>四 、磋商小组应当积极履行澄清、说明或者更正的职责，不得滥用权力。供应商的响应文件可以要求澄清、说明或者更正的，不得未经澄清、说明或者更正而直接作无效响应处理。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 、磋商小组采纳代理机构书面建议的，应当按照规定现场通 过交易系统修改评审结果或者重新评审，并在磋商报告中详细记载有关事宜； 不采纳代理机构书面建议的，应当书面说明理由。代理机构书面建议未被磋商小组采纳的，应当按照规定程序要求继续组 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 、代理机构复核过程中， 磋商小组成员不得离开评审现场。</w:t>
      </w:r>
    </w:p>
    <w:p>
      <w:pPr>
        <w:pStyle w:val="null5"/>
        <w:ind w:firstLine="480"/>
        <w:jc w:val="left"/>
      </w:pPr>
      <w:r>
        <w:rPr>
          <w:rFonts w:ascii="仿宋_GB2312" w:hAnsi="仿宋_GB2312" w:cs="仿宋_GB2312" w:eastAsia="仿宋_GB2312"/>
        </w:rPr>
        <w:t>四 、除资格审查认定错误和价格计算错误外， 采购人或者代理机构不得以任何理由组织重新评审 。 代理机构发现磋商小组未按照 磋商文件规定的评定成交的标准进行评审的， 应当重新开展采购活动， 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 应向代理机构出具磋商报告。磋商报告应当包括以下主要内容：</w:t>
      </w:r>
    </w:p>
    <w:p>
      <w:pPr>
        <w:pStyle w:val="null5"/>
        <w:ind w:firstLine="480"/>
        <w:jc w:val="left"/>
      </w:pPr>
      <w:r>
        <w:rPr>
          <w:rFonts w:ascii="仿宋_GB2312" w:hAnsi="仿宋_GB2312" w:cs="仿宋_GB2312" w:eastAsia="仿宋_GB2312"/>
        </w:rPr>
        <w:t>一 、邀请供应商参加采购活动的具体方式和相关情况，以及参加采购活动的供应商名单；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 、磋商日期和地点，磋商小组成员名单；</w:t>
      </w:r>
    </w:p>
    <w:p>
      <w:pPr>
        <w:pStyle w:val="null5"/>
        <w:ind w:firstLine="480"/>
        <w:jc w:val="left"/>
      </w:pPr>
      <w:r>
        <w:rPr>
          <w:rFonts w:ascii="仿宋_GB2312" w:hAnsi="仿宋_GB2312" w:cs="仿宋_GB2312" w:eastAsia="仿宋_GB2312"/>
        </w:rPr>
        <w:t>三 、参加报价的供应商名单及报价情况和未参加报价的供应商名单及原因；</w:t>
      </w:r>
    </w:p>
    <w:p>
      <w:pPr>
        <w:pStyle w:val="null5"/>
        <w:ind w:firstLine="480"/>
        <w:jc w:val="left"/>
      </w:pPr>
      <w:r>
        <w:rPr>
          <w:rFonts w:ascii="仿宋_GB2312" w:hAnsi="仿宋_GB2312" w:cs="仿宋_GB2312" w:eastAsia="仿宋_GB2312"/>
        </w:rPr>
        <w:t>四 、变动磋商文件实质性内容的有关资料及记录；</w:t>
      </w:r>
    </w:p>
    <w:p>
      <w:pPr>
        <w:pStyle w:val="null5"/>
        <w:ind w:firstLine="480"/>
        <w:jc w:val="left"/>
      </w:pPr>
      <w:r>
        <w:rPr>
          <w:rFonts w:ascii="仿宋_GB2312" w:hAnsi="仿宋_GB2312" w:cs="仿宋_GB2312" w:eastAsia="仿宋_GB2312"/>
        </w:rPr>
        <w:t>五 、供应商响应文件响应磋商文件实质性要求情况及供应商变动响应文件有关资料及记录；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 、磋商情况记录和说明， 包括对供应商的资格审查情况 、供应商响应文件磋商情况等；</w:t>
      </w:r>
    </w:p>
    <w:p>
      <w:pPr>
        <w:pStyle w:val="null5"/>
        <w:ind w:firstLine="480"/>
        <w:jc w:val="left"/>
      </w:pPr>
      <w:r>
        <w:rPr>
          <w:rFonts w:ascii="仿宋_GB2312" w:hAnsi="仿宋_GB2312" w:cs="仿宋_GB2312" w:eastAsia="仿宋_GB2312"/>
        </w:rPr>
        <w:t>七 、推荐的成交候选供应商名单及理由。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 数服从多数的原则作出结论，但不得违反法律法规和磋商文件规定。对磋商报告有异议的，应当在磋商报告上签署不同意见并说明 理由， 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 、细则及标准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技术部分69.00分</w:t>
            </w:r>
          </w:p>
          <w:p>
            <w:pPr>
              <w:pStyle w:val="null5"/>
            </w:pPr>
            <w:r>
              <w:rPr>
                <w:rFonts w:ascii="仿宋_GB2312" w:hAnsi="仿宋_GB2312" w:cs="仿宋_GB2312" w:eastAsia="仿宋_GB2312"/>
              </w:rPr>
              <w:t>商务部分11.00分</w:t>
            </w:r>
          </w:p>
          <w:p>
            <w:pPr>
              <w:pStyle w:val="null5"/>
            </w:pPr>
            <w:r>
              <w:rPr>
                <w:rFonts w:ascii="仿宋_GB2312" w:hAnsi="仿宋_GB2312" w:cs="仿宋_GB2312" w:eastAsia="仿宋_GB2312"/>
              </w:rPr>
              <w:t>报价得分20.00分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技术参数及要求</w:t>
            </w:r>
          </w:p>
        </w:tc>
        <w:tc>
          <w:tcPr>
            <w:tcW w:type="dxa" w:w="2575"/>
          </w:tcPr>
          <w:p>
            <w:pPr>
              <w:pStyle w:val="null5"/>
            </w:pPr>
            <w:r>
              <w:rPr>
                <w:rFonts w:ascii="仿宋_GB2312" w:hAnsi="仿宋_GB2312" w:cs="仿宋_GB2312" w:eastAsia="仿宋_GB2312"/>
              </w:rPr>
              <w:t>投标人所投产品完全满足招标文件技术参数要求，没有负偏离的得10分；每有一项无标识的技术参数（共159项）有负偏离的每项扣1分，扣完为止。 注：①带“●”符号的技术参数不在此项进行打分。②上述描述中的“一项”是指本项目功能要求中最低级别的项。③本项目技术参数未要求提供证明材料的，报价供应商书面响应即可。</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重要技术参数及要求</w:t>
            </w:r>
          </w:p>
        </w:tc>
        <w:tc>
          <w:tcPr>
            <w:tcW w:type="dxa" w:w="2575"/>
          </w:tcPr>
          <w:p>
            <w:pPr>
              <w:pStyle w:val="null5"/>
            </w:pPr>
            <w:r>
              <w:rPr>
                <w:rFonts w:ascii="仿宋_GB2312" w:hAnsi="仿宋_GB2312" w:cs="仿宋_GB2312" w:eastAsia="仿宋_GB2312"/>
              </w:rPr>
              <w:t>投标人对技术参数中标注“●”项须通过真实截图证明，经专家评审，每有一项不满足的扣2分，满分22分，扣完为止。</w:t>
            </w:r>
          </w:p>
        </w:tc>
        <w:tc>
          <w:tcPr>
            <w:tcW w:type="dxa" w:w="831"/>
          </w:tcPr>
          <w:p>
            <w:pPr>
              <w:pStyle w:val="null5"/>
              <w:jc w:val="center"/>
            </w:pPr>
            <w:r>
              <w:rPr>
                <w:rFonts w:ascii="仿宋_GB2312" w:hAnsi="仿宋_GB2312" w:cs="仿宋_GB2312" w:eastAsia="仿宋_GB2312"/>
              </w:rPr>
              <w:t>22.0000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投标人针对本项目提供的服务方案（包括：①服务时间安排及进度计划；②服务组织架构；③人员配置及岗位职责；④系统搭建实施方案；⑤服务质量保障措施；⑥安全保障措施）进行综合评审。每项3.5分，共21分。每缺少一项扣3.5分，扣完为止。方案内容有缺陷的，每项每有一处扣1分，扣完为止。不提供此方案不得分。[缺陷是指：项目信息错误或内容与本项目需求无关或方案内容前后矛盾或方案内容仅有框架或标题或适用的标准（方法）错误]</w:t>
            </w:r>
          </w:p>
        </w:tc>
        <w:tc>
          <w:tcPr>
            <w:tcW w:type="dxa" w:w="831"/>
          </w:tcPr>
          <w:p>
            <w:pPr>
              <w:pStyle w:val="null5"/>
              <w:jc w:val="center"/>
            </w:pPr>
            <w:r>
              <w:rPr>
                <w:rFonts w:ascii="仿宋_GB2312" w:hAnsi="仿宋_GB2312" w:cs="仿宋_GB2312" w:eastAsia="仿宋_GB2312"/>
              </w:rPr>
              <w:t>21.0000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根据投标人针对本项目提供的售后服务方案（包括：①售后服务内容及方式；②售后服务响应时间；③售后处理流程及措施；④培训方案）进行评审。每项4分，共16分。每缺少一项扣4分，扣完为止。方案内容有缺陷的，每项每有一处扣1分，扣完为止。不提供此方案不得分。 [缺陷是指：项目信息错误或内容与本项目需求无关或方案内容前后矛盾或方案内容仅有框架或标题或适用的标准（方法）错误]</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企业业绩</w:t>
            </w:r>
          </w:p>
        </w:tc>
        <w:tc>
          <w:tcPr>
            <w:tcW w:type="dxa" w:w="2575"/>
          </w:tcPr>
          <w:p>
            <w:pPr>
              <w:pStyle w:val="null5"/>
            </w:pPr>
            <w:r>
              <w:rPr>
                <w:rFonts w:ascii="仿宋_GB2312" w:hAnsi="仿宋_GB2312" w:cs="仿宋_GB2312" w:eastAsia="仿宋_GB2312"/>
              </w:rPr>
              <w:t>近三年（指从开标日向前推算，精确到日，以此类推，以合同签订时间为准），报价供应商承揽的类似系统开发或搭建类似项目业绩；每有一个得1分，最高得4分。 【响应文件附合同扫描件。】</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w:t>
            </w:r>
          </w:p>
        </w:tc>
      </w:tr>
      <w:tr>
        <w:tc>
          <w:tcPr>
            <w:tcW w:type="dxa" w:w="831"/>
            <w:vMerge/>
          </w:tcPr>
          <w:p/>
        </w:tc>
        <w:tc>
          <w:tcPr>
            <w:tcW w:type="dxa" w:w="1661"/>
          </w:tcPr>
          <w:p>
            <w:pPr>
              <w:pStyle w:val="null5"/>
            </w:pPr>
            <w:r>
              <w:rPr>
                <w:rFonts w:ascii="仿宋_GB2312" w:hAnsi="仿宋_GB2312" w:cs="仿宋_GB2312" w:eastAsia="仿宋_GB2312"/>
              </w:rPr>
              <w:t>企业实力</w:t>
            </w:r>
          </w:p>
        </w:tc>
        <w:tc>
          <w:tcPr>
            <w:tcW w:type="dxa" w:w="2575"/>
          </w:tcPr>
          <w:p>
            <w:pPr>
              <w:pStyle w:val="null5"/>
            </w:pPr>
            <w:r>
              <w:rPr>
                <w:rFonts w:ascii="仿宋_GB2312" w:hAnsi="仿宋_GB2312" w:cs="仿宋_GB2312" w:eastAsia="仿宋_GB2312"/>
              </w:rPr>
              <w:t>报价供应商所投产品制造商能提供： ISO9001证书得1分 ISO13485证书得1分 注：未提供不得分。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企业实力</w:t>
            </w:r>
          </w:p>
        </w:tc>
      </w:tr>
      <w:tr>
        <w:tc>
          <w:tcPr>
            <w:tcW w:type="dxa" w:w="831"/>
            <w:vMerge/>
          </w:tcPr>
          <w:p/>
        </w:tc>
        <w:tc>
          <w:tcPr>
            <w:tcW w:type="dxa" w:w="1661"/>
          </w:tcPr>
          <w:p>
            <w:pPr>
              <w:pStyle w:val="null5"/>
            </w:pPr>
            <w:r>
              <w:rPr>
                <w:rFonts w:ascii="仿宋_GB2312" w:hAnsi="仿宋_GB2312" w:cs="仿宋_GB2312" w:eastAsia="仿宋_GB2312"/>
              </w:rPr>
              <w:t>技术能力</w:t>
            </w:r>
          </w:p>
        </w:tc>
        <w:tc>
          <w:tcPr>
            <w:tcW w:type="dxa" w:w="2575"/>
          </w:tcPr>
          <w:p>
            <w:pPr>
              <w:pStyle w:val="null5"/>
            </w:pPr>
            <w:r>
              <w:rPr>
                <w:rFonts w:ascii="仿宋_GB2312" w:hAnsi="仿宋_GB2312" w:cs="仿宋_GB2312" w:eastAsia="仿宋_GB2312"/>
              </w:rPr>
              <w:t>投标人所投产品制造商能提供“慢病管理系统”、“慢性病分类筛查”、“慢性病智能处方”、“疾病监测预警”、“双高信息化管理”相关或类似软件著作权证书，每提供前述一个证书得1分，本项满分5分。 注：提供相应有效的证书扫描件。不提供或提供错误均不得分。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技术能力</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5"/>
        <w:ind w:firstLine="480"/>
        <w:jc w:val="left"/>
      </w:pPr>
      <w:r>
        <w:rPr>
          <w:rFonts w:ascii="仿宋_GB2312" w:hAnsi="仿宋_GB2312" w:cs="仿宋_GB2312" w:eastAsia="仿宋_GB2312"/>
        </w:rPr>
        <w:t>一 、 因情况变化，不再符合规定的竞争性磋商采购方式适用情 形的；</w:t>
      </w:r>
    </w:p>
    <w:p>
      <w:pPr>
        <w:pStyle w:val="null5"/>
        <w:ind w:firstLine="480"/>
        <w:jc w:val="left"/>
      </w:pPr>
      <w:r>
        <w:rPr>
          <w:rFonts w:ascii="仿宋_GB2312" w:hAnsi="仿宋_GB2312" w:cs="仿宋_GB2312" w:eastAsia="仿宋_GB2312"/>
        </w:rPr>
        <w:t>二 、出现影响采购公正的违法、违规行为的；</w:t>
      </w:r>
    </w:p>
    <w:p>
      <w:pPr>
        <w:pStyle w:val="null5"/>
        <w:ind w:firstLine="480"/>
        <w:jc w:val="left"/>
      </w:pPr>
      <w:r>
        <w:rPr>
          <w:rFonts w:ascii="仿宋_GB2312" w:hAnsi="仿宋_GB2312" w:cs="仿宋_GB2312" w:eastAsia="仿宋_GB2312"/>
        </w:rPr>
        <w:t>三 、在采购过程中符合竞争要求的供应商或者报价未超过采购预算的供应商不足 3 家的， 但《政府采购非招标采购方式管理办 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 、遵守评审工作纪律；</w:t>
      </w:r>
    </w:p>
    <w:p>
      <w:pPr>
        <w:pStyle w:val="null5"/>
        <w:ind w:firstLine="480"/>
        <w:jc w:val="left"/>
      </w:pPr>
      <w:r>
        <w:rPr>
          <w:rFonts w:ascii="仿宋_GB2312" w:hAnsi="仿宋_GB2312" w:cs="仿宋_GB2312" w:eastAsia="仿宋_GB2312"/>
        </w:rPr>
        <w:t>二 、按照客观、公正、审慎的原则，根据磋商文件规定的评审程序、评审方法和评审标准进行独立评审；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 、不得泄露评审文件、评审情况和在评审过程中获悉的商业秘密；</w:t>
      </w:r>
    </w:p>
    <w:p>
      <w:pPr>
        <w:pStyle w:val="null5"/>
        <w:ind w:firstLine="480"/>
        <w:jc w:val="left"/>
      </w:pPr>
      <w:r>
        <w:rPr>
          <w:rFonts w:ascii="仿宋_GB2312" w:hAnsi="仿宋_GB2312" w:cs="仿宋_GB2312" w:eastAsia="仿宋_GB2312"/>
        </w:rPr>
        <w:t>四 、及时向监督管理部门报告评审过程中的违法违规情况， 包括采购人、代理机构向评审专家作出倾向性、误导性的解释或者说明情况， 供应商行贿、提供虚假材料或者串通情况，其他非法干预评审情况等；</w:t>
      </w:r>
    </w:p>
    <w:p>
      <w:pPr>
        <w:pStyle w:val="null5"/>
        <w:ind w:firstLine="480"/>
        <w:jc w:val="left"/>
      </w:pPr>
      <w:r>
        <w:rPr>
          <w:rFonts w:ascii="仿宋_GB2312" w:hAnsi="仿宋_GB2312" w:cs="仿宋_GB2312" w:eastAsia="仿宋_GB2312"/>
        </w:rPr>
        <w:t>五 、发现磋商文件内容违反国家有关强制性规定或者存在歧义、重大缺陷导致评审工作无法进行时，停止评审并通过交易系统向代理机构书面说明情况，说明停止评审的情形和具体理由；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 、配合答复处理供应商的询问、质疑和投诉等事项；</w:t>
      </w:r>
    </w:p>
    <w:p>
      <w:pPr>
        <w:pStyle w:val="null5"/>
        <w:ind w:firstLine="480"/>
        <w:jc w:val="left"/>
      </w:pPr>
      <w:r>
        <w:rPr>
          <w:rFonts w:ascii="仿宋_GB2312" w:hAnsi="仿宋_GB2312" w:cs="仿宋_GB2312" w:eastAsia="仿宋_GB2312"/>
        </w:rPr>
        <w:t>七 、法律、法规和规章规定的其他义务。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 、严格遵守政府采购法律制度关于磋商小组成员回避的规定。</w:t>
      </w:r>
    </w:p>
    <w:p>
      <w:pPr>
        <w:pStyle w:val="null5"/>
        <w:ind w:firstLine="480"/>
        <w:jc w:val="left"/>
      </w:pPr>
      <w:r>
        <w:rPr>
          <w:rFonts w:ascii="仿宋_GB2312" w:hAnsi="仿宋_GB2312" w:cs="仿宋_GB2312" w:eastAsia="仿宋_GB2312"/>
        </w:rPr>
        <w:t>二 、评审前， 应当将通讯工具或者相关电子设备交由代理机构统一保管。</w:t>
      </w:r>
    </w:p>
    <w:p>
      <w:pPr>
        <w:pStyle w:val="null5"/>
        <w:ind w:firstLine="480"/>
        <w:jc w:val="left"/>
      </w:pPr>
      <w:r>
        <w:rPr>
          <w:rFonts w:ascii="仿宋_GB2312" w:hAnsi="仿宋_GB2312" w:cs="仿宋_GB2312" w:eastAsia="仿宋_GB2312"/>
        </w:rPr>
        <w:t>三 、评审过程中，不得与外界联系，因发生不可预见情况，确实需要与外界联系的，应当在监督人员监督之下办理。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 、评审过程中，不得干预或者影响正常评审工作， 不得发表倾向性、引导性意见，不得修改或细化磋商文件确定的评审程序 、评审方法、评审因素和评审标准，不得接受供应商主动提出的澄清和解释，不得征询采购人代表的意见，不得违反规定的评审格式和撰写评审意见，不得拒绝对自己的评审意见签字确认。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 、在评审过程中和评审结束后，不得记录、复制或带走任何 评审资料， 除因配合答复处理供应商的询问、质疑和投诉等事项外， 不得向外界透露评审内容。</w:t>
      </w:r>
    </w:p>
    <w:p>
      <w:pPr>
        <w:pStyle w:val="null5"/>
        <w:ind w:firstLine="480"/>
        <w:jc w:val="left"/>
      </w:pPr>
      <w:r>
        <w:rPr>
          <w:rFonts w:ascii="仿宋_GB2312" w:hAnsi="仿宋_GB2312" w:cs="仿宋_GB2312" w:eastAsia="仿宋_GB2312"/>
        </w:rPr>
        <w:t>六 、服从评审现场代理机构的现场秩序管理，接受评审现场监督人员的合法监督。</w:t>
      </w:r>
    </w:p>
    <w:p>
      <w:pPr>
        <w:pStyle w:val="null5"/>
        <w:ind w:firstLine="480"/>
        <w:jc w:val="left"/>
      </w:pPr>
      <w:r>
        <w:rPr>
          <w:rFonts w:ascii="仿宋_GB2312" w:hAnsi="仿宋_GB2312" w:cs="仿宋_GB2312" w:eastAsia="仿宋_GB2312"/>
        </w:rPr>
        <w:t>七 、遵守有关廉洁自律规定，不得私下接触供应商，不得收受供应商及有关业务单位和个人的财物或好处，不得接受采购人、代理机构的请托。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详见附件：技术能力</w:t>
      </w:r>
    </w:p>
    <w:p>
      <w:pPr>
        <w:pStyle w:val="null5"/>
        <w:ind w:firstLine="960"/>
        <w:jc w:val="left"/>
      </w:pPr>
      <w:r>
        <w:rPr>
          <w:rFonts w:ascii="仿宋_GB2312" w:hAnsi="仿宋_GB2312" w:cs="仿宋_GB2312" w:eastAsia="仿宋_GB2312"/>
        </w:rPr>
        <w:t>详见附件：企业实力</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详见附件：服务方案</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SDGP371083000202602000022</w:t>
      </w:r>
    </w:p>
    <w:p>
      <w:pPr>
        <w:pStyle w:val="null5"/>
        <w:jc w:val="left"/>
      </w:pPr>
      <w:r>
        <w:rPr>
          <w:rFonts w:ascii="仿宋_GB2312" w:hAnsi="仿宋_GB2312" w:cs="仿宋_GB2312" w:eastAsia="仿宋_GB2312"/>
        </w:rPr>
        <w:t>项目名称：</w:t>
      </w:r>
      <w:r>
        <w:rPr>
          <w:rFonts w:ascii="仿宋_GB2312" w:hAnsi="仿宋_GB2312" w:cs="仿宋_GB2312" w:eastAsia="仿宋_GB2312"/>
        </w:rPr>
        <w:t>慢病管理系统采购</w:t>
      </w:r>
    </w:p>
    <w:p>
      <w:pPr>
        <w:pStyle w:val="null5"/>
        <w:jc w:val="left"/>
      </w:pPr>
      <w:r>
        <w:rPr>
          <w:rFonts w:ascii="仿宋_GB2312" w:hAnsi="仿宋_GB2312" w:cs="仿宋_GB2312" w:eastAsia="仿宋_GB2312"/>
        </w:rPr>
        <w:t>采购包：</w:t>
      </w:r>
      <w:r>
        <w:rPr>
          <w:rFonts w:ascii="仿宋_GB2312" w:hAnsi="仿宋_GB2312" w:cs="仿宋_GB2312" w:eastAsia="仿宋_GB2312"/>
        </w:rPr>
        <w:t>慢病管理系统采购项目</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慢病管理系统采购</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慢病管理系统采购</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宗</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SDGP371083000202602000022</w:t>
      </w:r>
    </w:p>
    <w:p>
      <w:pPr>
        <w:pStyle w:val="null5"/>
        <w:jc w:val="left"/>
      </w:pPr>
      <w:r>
        <w:rPr>
          <w:rFonts w:ascii="仿宋_GB2312" w:hAnsi="仿宋_GB2312" w:cs="仿宋_GB2312" w:eastAsia="仿宋_GB2312"/>
        </w:rPr>
        <w:t>项目名称：</w:t>
      </w:r>
      <w:r>
        <w:rPr>
          <w:rFonts w:ascii="仿宋_GB2312" w:hAnsi="仿宋_GB2312" w:cs="仿宋_GB2312" w:eastAsia="仿宋_GB2312"/>
        </w:rPr>
        <w:t>慢病管理系统采购</w:t>
      </w:r>
    </w:p>
    <w:p>
      <w:pPr>
        <w:pStyle w:val="null5"/>
        <w:jc w:val="left"/>
      </w:pPr>
      <w:r>
        <w:rPr>
          <w:rFonts w:ascii="仿宋_GB2312" w:hAnsi="仿宋_GB2312" w:cs="仿宋_GB2312" w:eastAsia="仿宋_GB2312"/>
        </w:rPr>
        <w:t>采购包：</w:t>
      </w:r>
      <w:r>
        <w:rPr>
          <w:rFonts w:ascii="仿宋_GB2312" w:hAnsi="仿宋_GB2312" w:cs="仿宋_GB2312" w:eastAsia="仿宋_GB2312"/>
        </w:rPr>
        <w:t>慢病管理系统采购项目</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慢病管理系统采购项目</w:t>
            </w:r>
          </w:p>
        </w:tc>
        <w:tc>
          <w:tcPr>
            <w:tcW w:type="dxa" w:w="1384"/>
          </w:tcPr>
          <w:p>
            <w:pPr>
              <w:pStyle w:val="null5"/>
              <w:jc w:val="left"/>
            </w:pPr>
            <w:r>
              <w:rPr>
                <w:rFonts w:ascii="仿宋_GB2312" w:hAnsi="仿宋_GB2312" w:cs="仿宋_GB2312" w:eastAsia="仿宋_GB2312"/>
              </w:rPr>
              <w:t xml:space="preserve"> 宗</w:t>
            </w:r>
          </w:p>
        </w:tc>
        <w:tc>
          <w:tcPr>
            <w:tcW w:type="dxa" w:w="1384"/>
          </w:tcPr>
          <w:p>
            <w:pPr>
              <w:pStyle w:val="null5"/>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