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keepLines/>
        <w:pageBreakBefore w:val="0"/>
        <w:widowControl w:val="0"/>
        <w:kinsoku/>
        <w:wordWrap/>
        <w:overflowPunct/>
        <w:topLinePunct w:val="0"/>
        <w:autoSpaceDE/>
        <w:autoSpaceDN/>
        <w:bidi w:val="0"/>
        <w:adjustRightInd/>
        <w:snapToGrid/>
        <w:textAlignment w:val="auto"/>
        <w:rPr>
          <w:rFonts w:hint="eastAsia" w:ascii="Times New Roman" w:hAnsi="Times New Roman"/>
          <w:highlight w:val="none"/>
        </w:rPr>
      </w:pPr>
      <w:bookmarkStart w:id="0" w:name="_Toc28068"/>
      <w:bookmarkStart w:id="1" w:name="_Toc21902"/>
      <w:r>
        <w:rPr>
          <w:rFonts w:hint="eastAsia" w:ascii="Times New Roman" w:hAnsi="Times New Roman"/>
          <w:highlight w:val="none"/>
          <w:lang w:val="en-US" w:eastAsia="zh-CN"/>
        </w:rPr>
        <w:t>国有</w:t>
      </w:r>
      <w:r>
        <w:rPr>
          <w:rFonts w:hint="eastAsia" w:ascii="Times New Roman" w:hAnsi="Times New Roman"/>
          <w:highlight w:val="none"/>
          <w:lang w:eastAsia="zh-CN"/>
        </w:rPr>
        <w:t>产权</w:t>
      </w:r>
      <w:r>
        <w:rPr>
          <w:rFonts w:hint="eastAsia" w:ascii="Times New Roman" w:hAnsi="Times New Roman"/>
          <w:highlight w:val="none"/>
        </w:rPr>
        <w:t>进场交易工作流程</w:t>
      </w:r>
      <w:bookmarkEnd w:id="0"/>
    </w:p>
    <w:p>
      <w:pPr>
        <w:keepNext w:val="0"/>
        <w:keepLines w:val="0"/>
        <w:pageBreakBefore w:val="0"/>
        <w:kinsoku/>
        <w:wordWrap/>
        <w:overflowPunct/>
        <w:topLinePunct w:val="0"/>
        <w:autoSpaceDE/>
        <w:autoSpaceDN/>
        <w:bidi w:val="0"/>
        <w:spacing w:line="560" w:lineRule="exact"/>
        <w:jc w:val="both"/>
        <w:textAlignment w:val="auto"/>
        <w:rPr>
          <w:rFonts w:hint="eastAsia" w:ascii="Times New Roman" w:hAnsi="Times New Roman" w:cs="仿宋_GB2312"/>
          <w:bCs/>
          <w:color w:val="auto"/>
          <w:highlight w:val="none"/>
          <w:lang w:val="en-US"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567" w:right="0"/>
        <w:jc w:val="both"/>
        <w:textAlignment w:val="auto"/>
        <w:rPr>
          <w:rFonts w:ascii="Times New Roman" w:hAnsi="Times New Roman" w:cs="方正小标宋简体"/>
          <w:color w:val="auto"/>
          <w:szCs w:val="32"/>
          <w:highlight w:val="none"/>
          <w:lang w:val="en-US"/>
        </w:rPr>
      </w:pPr>
      <w:r>
        <w:rPr>
          <w:rFonts w:hint="eastAsia" w:ascii="Times New Roman" w:hAnsi="Times New Roman" w:eastAsia="黑体" w:cs="黑体"/>
          <w:color w:val="auto"/>
          <w:kern w:val="2"/>
          <w:sz w:val="32"/>
          <w:szCs w:val="24"/>
          <w:highlight w:val="none"/>
          <w:lang w:val="en-US" w:eastAsia="zh-CN" w:bidi="ar"/>
        </w:rPr>
        <w:t xml:space="preserve">1 </w:t>
      </w:r>
      <w:r>
        <w:rPr>
          <w:rFonts w:hint="eastAsia" w:ascii="Times New Roman" w:hAnsi="Times New Roman" w:eastAsia="黑体" w:cs="黑体"/>
          <w:b w:val="0"/>
          <w:bCs w:val="0"/>
          <w:color w:val="auto"/>
          <w:kern w:val="2"/>
          <w:sz w:val="32"/>
          <w:szCs w:val="24"/>
          <w:highlight w:val="none"/>
          <w:lang w:val="en-US" w:eastAsia="zh-CN" w:bidi="ar"/>
        </w:rPr>
        <w:t>范围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方正小标宋简体"/>
          <w:color w:val="auto"/>
          <w:szCs w:val="32"/>
          <w:highlight w:val="none"/>
          <w:lang w:val="en-US"/>
        </w:rPr>
      </w:pPr>
      <w:r>
        <w:rPr>
          <w:rFonts w:hint="eastAsia" w:ascii="Times New Roman" w:hAnsi="Times New Roman" w:eastAsia="仿宋_GB2312" w:cs="方正小标宋简体"/>
          <w:color w:val="auto"/>
          <w:kern w:val="2"/>
          <w:sz w:val="32"/>
          <w:szCs w:val="32"/>
          <w:highlight w:val="none"/>
          <w:lang w:val="en-US" w:eastAsia="zh-CN" w:bidi="ar"/>
        </w:rPr>
        <w:t>本部分规定了公共资源交易中心在国有</w:t>
      </w:r>
      <w:r>
        <w:rPr>
          <w:rFonts w:hint="eastAsia" w:ascii="Times New Roman" w:hAnsi="Times New Roman" w:cs="方正小标宋简体"/>
          <w:color w:val="auto"/>
          <w:kern w:val="2"/>
          <w:sz w:val="32"/>
          <w:szCs w:val="32"/>
          <w:highlight w:val="none"/>
          <w:lang w:val="en-US" w:eastAsia="zh-CN" w:bidi="ar"/>
        </w:rPr>
        <w:t>资产</w:t>
      </w:r>
      <w:r>
        <w:rPr>
          <w:rFonts w:hint="eastAsia" w:ascii="Times New Roman" w:hAnsi="Times New Roman" w:eastAsia="仿宋_GB2312" w:cs="方正小标宋简体"/>
          <w:color w:val="auto"/>
          <w:kern w:val="2"/>
          <w:sz w:val="32"/>
          <w:szCs w:val="32"/>
          <w:highlight w:val="none"/>
          <w:lang w:val="en-US" w:eastAsia="zh-CN" w:bidi="ar"/>
        </w:rPr>
        <w:t>转让项目受理、公告发布、</w:t>
      </w:r>
      <w:r>
        <w:rPr>
          <w:rFonts w:hint="eastAsia" w:ascii="Times New Roman" w:hAnsi="Times New Roman" w:eastAsia="仿宋_GB2312" w:cs="仿宋_GB2312"/>
          <w:color w:val="auto"/>
          <w:kern w:val="2"/>
          <w:sz w:val="32"/>
          <w:szCs w:val="32"/>
          <w:highlight w:val="none"/>
          <w:lang w:val="en-US" w:eastAsia="zh-CN" w:bidi="ar"/>
        </w:rPr>
        <w:t>网上竞拍</w:t>
      </w:r>
      <w:r>
        <w:rPr>
          <w:rFonts w:hint="eastAsia" w:ascii="Times New Roman" w:hAnsi="Times New Roman" w:eastAsia="仿宋_GB2312" w:cs="方正小标宋简体"/>
          <w:color w:val="auto"/>
          <w:kern w:val="2"/>
          <w:sz w:val="32"/>
          <w:szCs w:val="32"/>
          <w:highlight w:val="none"/>
          <w:lang w:val="en-US" w:eastAsia="zh-CN" w:bidi="ar"/>
        </w:rPr>
        <w:t>、</w:t>
      </w:r>
      <w:r>
        <w:rPr>
          <w:rFonts w:hint="eastAsia" w:ascii="Times New Roman" w:hAnsi="Times New Roman" w:eastAsia="仿宋_GB2312" w:cs="仿宋_GB2312"/>
          <w:color w:val="auto"/>
          <w:kern w:val="2"/>
          <w:sz w:val="32"/>
          <w:szCs w:val="32"/>
          <w:highlight w:val="none"/>
          <w:lang w:val="en-US" w:eastAsia="zh-CN" w:bidi="ar"/>
        </w:rPr>
        <w:t>结果公示、资料归档工作中提供的服务流程。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方正小标宋简体"/>
          <w:color w:val="auto"/>
          <w:szCs w:val="32"/>
          <w:highlight w:val="none"/>
          <w:lang w:val="en-US"/>
        </w:rPr>
      </w:pPr>
      <w:r>
        <w:rPr>
          <w:rFonts w:hint="eastAsia" w:ascii="Times New Roman" w:hAnsi="Times New Roman" w:eastAsia="黑体" w:cs="黑体"/>
          <w:color w:val="auto"/>
          <w:kern w:val="2"/>
          <w:sz w:val="32"/>
          <w:szCs w:val="32"/>
          <w:highlight w:val="none"/>
          <w:lang w:val="en-US" w:eastAsia="zh-CN" w:bidi="ar"/>
        </w:rPr>
        <w:t>2 规范性文件引用</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cs="Times New Roman"/>
          <w:color w:val="auto"/>
          <w:szCs w:val="32"/>
          <w:highlight w:val="none"/>
          <w:lang w:val="en-US"/>
        </w:rPr>
      </w:pPr>
      <w:r>
        <w:rPr>
          <w:rFonts w:hint="eastAsia" w:ascii="Times New Roman" w:hAnsi="Times New Roman" w:eastAsia="仿宋_GB2312" w:cs="Times New Roman"/>
          <w:color w:val="auto"/>
          <w:kern w:val="2"/>
          <w:sz w:val="32"/>
          <w:szCs w:val="32"/>
          <w:highlight w:val="none"/>
          <w:lang w:val="en-US" w:eastAsia="zh-CN" w:bidi="ar"/>
        </w:rPr>
        <w:t>《山东省公共资源交易平台</w:t>
      </w:r>
      <w:r>
        <w:rPr>
          <w:rFonts w:hint="eastAsia" w:ascii="Times New Roman" w:hAnsi="Times New Roman" w:cs="Times New Roman"/>
          <w:color w:val="auto"/>
          <w:kern w:val="2"/>
          <w:sz w:val="32"/>
          <w:szCs w:val="32"/>
          <w:highlight w:val="none"/>
          <w:lang w:val="en-US" w:eastAsia="zh-CN" w:bidi="ar"/>
        </w:rPr>
        <w:t>管理暂行办法</w:t>
      </w:r>
      <w:r>
        <w:rPr>
          <w:rFonts w:hint="eastAsia" w:ascii="Times New Roman" w:hAnsi="Times New Roman" w:eastAsia="仿宋_GB2312" w:cs="Times New Roman"/>
          <w:color w:val="auto"/>
          <w:kern w:val="2"/>
          <w:sz w:val="32"/>
          <w:szCs w:val="32"/>
          <w:highlight w:val="none"/>
          <w:lang w:val="en-US" w:eastAsia="zh-CN" w:bidi="ar"/>
        </w:rPr>
        <w:t>》</w:t>
      </w:r>
      <w:r>
        <w:rPr>
          <w:rFonts w:hint="eastAsia" w:ascii="Times New Roman" w:hAnsi="Times New Roman" w:cs="Times New Roman"/>
          <w:color w:val="auto"/>
          <w:kern w:val="2"/>
          <w:sz w:val="32"/>
          <w:szCs w:val="32"/>
          <w:highlight w:val="none"/>
          <w:lang w:val="en-US" w:eastAsia="zh-CN" w:bidi="ar"/>
        </w:rPr>
        <w:t>、《企业国有资产交易监督管理办法》</w:t>
      </w:r>
    </w:p>
    <w:p>
      <w:pPr>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16" w:firstLineChars="200"/>
        <w:jc w:val="both"/>
        <w:textAlignment w:val="auto"/>
        <w:rPr>
          <w:rFonts w:ascii="Times New Roman" w:hAnsi="Times New Roman" w:cs="黑体"/>
          <w:bCs/>
          <w:color w:val="auto"/>
          <w:spacing w:val="-6"/>
          <w:kern w:val="0"/>
          <w:szCs w:val="32"/>
          <w:highlight w:val="none"/>
          <w:shd w:val="clear" w:fill="FFFFFF"/>
          <w:lang w:val="en-US"/>
        </w:rPr>
      </w:pPr>
      <w:r>
        <w:rPr>
          <w:rFonts w:hint="eastAsia" w:ascii="Times New Roman" w:hAnsi="Times New Roman" w:eastAsia="黑体" w:cs="黑体"/>
          <w:color w:val="auto"/>
          <w:spacing w:val="-6"/>
          <w:kern w:val="0"/>
          <w:sz w:val="32"/>
          <w:szCs w:val="32"/>
          <w:highlight w:val="none"/>
          <w:shd w:val="clear" w:fill="FFFFFF"/>
          <w:lang w:val="en-US" w:eastAsia="zh-CN" w:bidi="ar"/>
        </w:rPr>
        <w:t>3 承办科室</w:t>
      </w:r>
    </w:p>
    <w:p>
      <w:pPr>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16" w:firstLineChars="200"/>
        <w:jc w:val="left"/>
        <w:textAlignment w:val="auto"/>
        <w:rPr>
          <w:rFonts w:ascii="Times New Roman" w:hAnsi="Times New Roman" w:cs="Times New Roman"/>
          <w:color w:val="auto"/>
          <w:spacing w:val="-6"/>
          <w:kern w:val="0"/>
          <w:szCs w:val="32"/>
          <w:highlight w:val="none"/>
          <w:shd w:val="clear" w:fill="FFFFFF"/>
          <w:lang w:val="en-US"/>
        </w:rPr>
      </w:pPr>
      <w:r>
        <w:rPr>
          <w:rFonts w:hint="eastAsia" w:ascii="Times New Roman" w:hAnsi="Times New Roman" w:eastAsia="仿宋_GB2312" w:cs="Times New Roman"/>
          <w:color w:val="auto"/>
          <w:spacing w:val="-6"/>
          <w:kern w:val="0"/>
          <w:sz w:val="32"/>
          <w:szCs w:val="32"/>
          <w:highlight w:val="none"/>
          <w:shd w:val="clear" w:fill="FFFFFF"/>
          <w:lang w:val="en-US" w:eastAsia="zh-CN" w:bidi="ar"/>
        </w:rPr>
        <w:t>工程和产权交易科（以下统一简称“工程科”）</w:t>
      </w:r>
    </w:p>
    <w:p>
      <w:pPr>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40" w:firstLineChars="200"/>
        <w:jc w:val="left"/>
        <w:textAlignment w:val="auto"/>
        <w:rPr>
          <w:rFonts w:ascii="Times New Roman" w:hAnsi="Times New Roman" w:cs="Times New Roman"/>
          <w:color w:val="auto"/>
          <w:szCs w:val="32"/>
          <w:highlight w:val="none"/>
          <w:shd w:val="clear" w:fill="FFFFFF"/>
          <w:lang w:val="en-US"/>
        </w:rPr>
      </w:pPr>
      <w:r>
        <w:rPr>
          <w:rFonts w:hint="eastAsia" w:ascii="Times New Roman" w:hAnsi="Times New Roman" w:eastAsia="仿宋_GB2312" w:cs="Times New Roman"/>
          <w:color w:val="auto"/>
          <w:kern w:val="2"/>
          <w:sz w:val="32"/>
          <w:szCs w:val="32"/>
          <w:highlight w:val="none"/>
          <w:shd w:val="clear" w:fill="FFFFFF"/>
          <w:lang w:val="en-US" w:eastAsia="zh-CN" w:bidi="ar"/>
        </w:rPr>
        <w:t>办公地址：深圳路</w:t>
      </w:r>
      <w:r>
        <w:rPr>
          <w:rFonts w:hint="default" w:ascii="Times New Roman" w:hAnsi="Times New Roman" w:eastAsia="仿宋_GB2312" w:cs="Times New Roman"/>
          <w:color w:val="auto"/>
          <w:kern w:val="2"/>
          <w:sz w:val="32"/>
          <w:szCs w:val="32"/>
          <w:highlight w:val="none"/>
          <w:shd w:val="clear" w:fill="FFFFFF"/>
          <w:lang w:val="en-US" w:eastAsia="zh-CN" w:bidi="ar"/>
        </w:rPr>
        <w:t>108</w:t>
      </w:r>
      <w:r>
        <w:rPr>
          <w:rFonts w:hint="eastAsia" w:ascii="Times New Roman" w:hAnsi="Times New Roman" w:eastAsia="仿宋_GB2312" w:cs="Times New Roman"/>
          <w:color w:val="auto"/>
          <w:kern w:val="2"/>
          <w:sz w:val="32"/>
          <w:szCs w:val="32"/>
          <w:highlight w:val="none"/>
          <w:shd w:val="clear" w:fill="FFFFFF"/>
          <w:lang w:val="en-US" w:eastAsia="zh-CN" w:bidi="ar"/>
        </w:rPr>
        <w:t>号市行政服务中心</w:t>
      </w:r>
      <w:r>
        <w:rPr>
          <w:rFonts w:hint="default" w:ascii="Times New Roman" w:hAnsi="Times New Roman" w:eastAsia="仿宋_GB2312" w:cs="Times New Roman"/>
          <w:color w:val="auto"/>
          <w:kern w:val="2"/>
          <w:sz w:val="32"/>
          <w:szCs w:val="32"/>
          <w:highlight w:val="none"/>
          <w:shd w:val="clear" w:fill="FFFFFF"/>
          <w:lang w:val="en-US" w:eastAsia="zh-CN" w:bidi="ar"/>
        </w:rPr>
        <w:t>3</w:t>
      </w:r>
      <w:r>
        <w:rPr>
          <w:rFonts w:hint="eastAsia" w:ascii="Times New Roman" w:hAnsi="Times New Roman" w:eastAsia="仿宋_GB2312" w:cs="Times New Roman"/>
          <w:color w:val="auto"/>
          <w:kern w:val="2"/>
          <w:sz w:val="32"/>
          <w:szCs w:val="32"/>
          <w:highlight w:val="none"/>
          <w:shd w:val="clear" w:fill="FFFFFF"/>
          <w:lang w:val="en-US" w:eastAsia="zh-CN" w:bidi="ar"/>
        </w:rPr>
        <w:t>楼。</w:t>
      </w:r>
    </w:p>
    <w:p>
      <w:pPr>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16" w:firstLineChars="200"/>
        <w:jc w:val="left"/>
        <w:textAlignment w:val="auto"/>
        <w:rPr>
          <w:rFonts w:ascii="Times New Roman" w:hAnsi="Times New Roman" w:cs="Times New Roman"/>
          <w:color w:val="auto"/>
          <w:spacing w:val="-6"/>
          <w:kern w:val="0"/>
          <w:szCs w:val="32"/>
          <w:highlight w:val="none"/>
          <w:shd w:val="clear" w:fill="FFFFFF"/>
          <w:lang w:val="en-US"/>
        </w:rPr>
      </w:pPr>
      <w:r>
        <w:rPr>
          <w:rFonts w:hint="eastAsia" w:ascii="Times New Roman" w:hAnsi="Times New Roman" w:eastAsia="仿宋_GB2312" w:cs="Times New Roman"/>
          <w:color w:val="auto"/>
          <w:spacing w:val="-6"/>
          <w:kern w:val="0"/>
          <w:sz w:val="32"/>
          <w:szCs w:val="32"/>
          <w:highlight w:val="none"/>
          <w:shd w:val="clear" w:fill="FFFFFF"/>
          <w:lang w:val="en-US" w:eastAsia="zh-CN" w:bidi="ar"/>
        </w:rPr>
        <w:t>联系电话：</w:t>
      </w:r>
      <w:r>
        <w:rPr>
          <w:rFonts w:hint="default" w:ascii="Times New Roman" w:hAnsi="Times New Roman" w:eastAsia="仿宋_GB2312" w:cs="Times New Roman"/>
          <w:color w:val="auto"/>
          <w:spacing w:val="-6"/>
          <w:kern w:val="0"/>
          <w:sz w:val="32"/>
          <w:szCs w:val="32"/>
          <w:highlight w:val="none"/>
          <w:shd w:val="clear" w:fill="FFFFFF"/>
          <w:lang w:val="en-US" w:eastAsia="zh-CN" w:bidi="ar"/>
        </w:rPr>
        <w:t>0631-6875016</w:t>
      </w:r>
      <w:r>
        <w:rPr>
          <w:rFonts w:hint="eastAsia" w:ascii="Times New Roman" w:hAnsi="Times New Roman" w:eastAsia="仿宋_GB2312" w:cs="Times New Roman"/>
          <w:color w:val="auto"/>
          <w:spacing w:val="-6"/>
          <w:kern w:val="0"/>
          <w:sz w:val="32"/>
          <w:szCs w:val="32"/>
          <w:highlight w:val="none"/>
          <w:shd w:val="clear" w:fill="FFFFFF"/>
          <w:lang w:val="en-US" w:eastAsia="zh-CN" w:bidi="ar"/>
        </w:rPr>
        <w:t>。</w:t>
      </w:r>
    </w:p>
    <w:p>
      <w:pPr>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40" w:firstLineChars="200"/>
        <w:jc w:val="left"/>
        <w:textAlignment w:val="auto"/>
        <w:rPr>
          <w:rFonts w:ascii="Times New Roman" w:hAnsi="Times New Roman" w:cs="Times New Roman"/>
          <w:color w:val="auto"/>
          <w:spacing w:val="-6"/>
          <w:kern w:val="0"/>
          <w:szCs w:val="32"/>
          <w:highlight w:val="none"/>
          <w:shd w:val="clear" w:fill="FFFFFF"/>
          <w:lang w:val="en-US"/>
        </w:rPr>
      </w:pPr>
      <w:r>
        <w:rPr>
          <w:rFonts w:hint="eastAsia" w:ascii="Times New Roman" w:hAnsi="Times New Roman" w:eastAsia="仿宋_GB2312" w:cs="Times New Roman"/>
          <w:color w:val="auto"/>
          <w:kern w:val="2"/>
          <w:sz w:val="32"/>
          <w:szCs w:val="32"/>
          <w:highlight w:val="none"/>
          <w:shd w:val="clear" w:fill="FFFFFF"/>
          <w:lang w:val="en-US" w:eastAsia="zh-CN" w:bidi="ar"/>
        </w:rPr>
        <w:t>邮箱：</w:t>
      </w:r>
      <w:r>
        <w:rPr>
          <w:rFonts w:hint="eastAsia" w:ascii="Times New Roman" w:hAnsi="Times New Roman" w:eastAsia="仿宋_GB2312" w:cs="Times New Roman"/>
          <w:color w:val="auto"/>
          <w:szCs w:val="32"/>
          <w:highlight w:val="none"/>
          <w:u w:val="none"/>
        </w:rPr>
        <w:t>rushanjyzxgck@wh.shandong.cn</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黑体" w:cs="黑体"/>
          <w:color w:val="auto"/>
          <w:szCs w:val="32"/>
          <w:highlight w:val="none"/>
          <w:lang w:val="en-US"/>
        </w:rPr>
      </w:pPr>
      <w:r>
        <w:rPr>
          <w:rFonts w:hint="eastAsia" w:ascii="Times New Roman" w:hAnsi="Times New Roman" w:eastAsia="黑体" w:cs="黑体"/>
          <w:color w:val="auto"/>
          <w:kern w:val="2"/>
          <w:sz w:val="32"/>
          <w:szCs w:val="32"/>
          <w:highlight w:val="none"/>
          <w:lang w:val="en-US" w:eastAsia="zh-CN" w:bidi="ar"/>
        </w:rPr>
        <w:t>4 服务流程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left"/>
        <w:textAlignment w:val="auto"/>
        <w:rPr>
          <w:rFonts w:hint="eastAsia" w:ascii="Times New Roman" w:hAnsi="Times New Roman" w:eastAsia="仿宋_GB2312" w:cs="仿宋_GB2312"/>
          <w:color w:val="auto"/>
          <w:kern w:val="2"/>
          <w:sz w:val="32"/>
          <w:szCs w:val="32"/>
          <w:highlight w:val="none"/>
          <w:lang w:val="en-US" w:eastAsia="zh-CN" w:bidi="ar"/>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.1 </w:t>
      </w:r>
      <w:r>
        <w:rPr>
          <w:rFonts w:hint="eastAsia" w:ascii="Times New Roman" w:hAnsi="Times New Roman" w:eastAsia="仿宋_GB2312" w:cs="仿宋_GB2312"/>
          <w:color w:val="auto"/>
          <w:kern w:val="2"/>
          <w:sz w:val="32"/>
          <w:szCs w:val="32"/>
          <w:highlight w:val="none"/>
          <w:lang w:val="en-US" w:eastAsia="zh-CN" w:bidi="ar"/>
        </w:rPr>
        <w:t>系统注册。</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right="0" w:firstLine="640" w:firstLineChars="200"/>
        <w:jc w:val="left"/>
        <w:textAlignment w:val="auto"/>
        <w:rPr>
          <w:rFonts w:hint="eastAsia" w:ascii="Times New Roman" w:hAnsi="Times New Roman" w:eastAsia="仿宋_GB2312" w:cs="仿宋_GB2312"/>
          <w:color w:val="auto"/>
          <w:kern w:val="2"/>
          <w:sz w:val="32"/>
          <w:szCs w:val="32"/>
          <w:highlight w:val="none"/>
          <w:lang w:val="en-US" w:eastAsia="zh-CN" w:bidi="ar"/>
        </w:rPr>
      </w:pPr>
      <w:r>
        <w:rPr>
          <w:rFonts w:hint="eastAsia" w:ascii="Times New Roman" w:hAnsi="Times New Roman" w:eastAsia="仿宋_GB2312" w:cs="仿宋_GB2312"/>
          <w:color w:val="auto"/>
          <w:kern w:val="2"/>
          <w:sz w:val="32"/>
          <w:szCs w:val="32"/>
          <w:highlight w:val="none"/>
          <w:lang w:val="en-US" w:eastAsia="zh-CN" w:bidi="ar"/>
        </w:rPr>
        <w:t>办结时间：提交资质证明当日办结。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right="0" w:firstLine="640" w:firstLineChars="200"/>
        <w:jc w:val="left"/>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办理方式：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.1.1 </w:t>
      </w:r>
      <w:r>
        <w:rPr>
          <w:rFonts w:hint="eastAsia" w:ascii="Times New Roman" w:hAnsi="Times New Roman" w:eastAsia="仿宋_GB2312" w:cs="仿宋_GB2312"/>
          <w:color w:val="auto"/>
          <w:kern w:val="2"/>
          <w:sz w:val="32"/>
          <w:szCs w:val="32"/>
          <w:highlight w:val="none"/>
          <w:lang w:val="en-US" w:eastAsia="zh-CN" w:bidi="ar"/>
        </w:rPr>
        <w:t>中介机构登录</w:t>
      </w:r>
      <w:r>
        <w:rPr>
          <w:rFonts w:hint="eastAsia" w:ascii="Times New Roman" w:hAnsi="Times New Roman" w:eastAsia="仿宋_GB2312" w:cs="Times New Roman"/>
          <w:color w:val="auto"/>
          <w:kern w:val="2"/>
          <w:sz w:val="32"/>
          <w:szCs w:val="32"/>
          <w:highlight w:val="none"/>
          <w:lang w:val="en-US" w:eastAsia="zh-CN" w:bidi="ar"/>
        </w:rPr>
        <w:t>威海市公共资源交易平台（乳山市）“</w:t>
      </w:r>
      <w:r>
        <w:rPr>
          <w:rFonts w:hint="default" w:ascii="Times New Roman" w:hAnsi="Times New Roman" w:eastAsia="仿宋_GB2312" w:cs="Times New Roman"/>
          <w:color w:val="auto"/>
          <w:kern w:val="2"/>
          <w:sz w:val="32"/>
          <w:szCs w:val="32"/>
          <w:highlight w:val="none"/>
          <w:lang w:val="en-US" w:eastAsia="zh-CN" w:bidi="ar"/>
        </w:rPr>
        <w:t>CA</w:t>
      </w:r>
      <w:r>
        <w:rPr>
          <w:rFonts w:hint="eastAsia" w:ascii="Times New Roman" w:hAnsi="Times New Roman" w:eastAsia="仿宋_GB2312" w:cs="Times New Roman"/>
          <w:color w:val="auto"/>
          <w:kern w:val="2"/>
          <w:sz w:val="32"/>
          <w:szCs w:val="32"/>
          <w:highlight w:val="none"/>
          <w:lang w:val="en-US" w:eastAsia="zh-CN" w:bidi="ar"/>
        </w:rPr>
        <w:t>办理”版块，申请办理</w:t>
      </w:r>
      <w:r>
        <w:rPr>
          <w:rFonts w:hint="default" w:ascii="Times New Roman" w:hAnsi="Times New Roman" w:eastAsia="仿宋_GB2312" w:cs="Times New Roman"/>
          <w:color w:val="auto"/>
          <w:kern w:val="2"/>
          <w:sz w:val="32"/>
          <w:szCs w:val="32"/>
          <w:highlight w:val="none"/>
          <w:lang w:val="en-US" w:eastAsia="zh-CN" w:bidi="ar"/>
        </w:rPr>
        <w:t>CA</w:t>
      </w:r>
      <w:r>
        <w:rPr>
          <w:rFonts w:hint="eastAsia" w:ascii="Times New Roman" w:hAnsi="Times New Roman" w:eastAsia="仿宋_GB2312" w:cs="Times New Roman"/>
          <w:color w:val="auto"/>
          <w:kern w:val="2"/>
          <w:sz w:val="32"/>
          <w:szCs w:val="32"/>
          <w:highlight w:val="none"/>
          <w:lang w:val="en-US" w:eastAsia="zh-CN" w:bidi="ar"/>
        </w:rPr>
        <w:t>数字证书（首个免费）。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.1.2 </w:t>
      </w:r>
      <w:r>
        <w:rPr>
          <w:rFonts w:hint="eastAsia" w:ascii="Times New Roman" w:hAnsi="Times New Roman" w:eastAsia="仿宋_GB2312" w:cs="仿宋_GB2312"/>
          <w:color w:val="auto"/>
          <w:kern w:val="2"/>
          <w:sz w:val="32"/>
          <w:szCs w:val="32"/>
          <w:highlight w:val="none"/>
          <w:lang w:val="en-US" w:eastAsia="zh-CN" w:bidi="ar"/>
        </w:rPr>
        <w:t>工程科查验中介机构在威海市产权电子交易系统（以下简称“交易系统”）注册并提交的相关企业和执业人员资质证明。</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left"/>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 </w:t>
      </w:r>
      <w:r>
        <w:rPr>
          <w:rFonts w:hint="eastAsia" w:ascii="Times New Roman" w:hAnsi="Times New Roman" w:eastAsia="仿宋_GB2312" w:cs="仿宋_GB2312"/>
          <w:color w:val="auto"/>
          <w:kern w:val="2"/>
          <w:sz w:val="32"/>
          <w:szCs w:val="32"/>
          <w:highlight w:val="none"/>
          <w:lang w:val="en-US" w:eastAsia="zh-CN" w:bidi="ar"/>
        </w:rPr>
        <w:t>项目登记。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仿宋_GB2312"/>
          <w:color w:val="auto"/>
          <w:kern w:val="2"/>
          <w:sz w:val="32"/>
          <w:szCs w:val="32"/>
          <w:highlight w:val="none"/>
          <w:lang w:val="en-US" w:eastAsia="zh-CN" w:bidi="ar"/>
        </w:rPr>
      </w:pPr>
      <w:r>
        <w:rPr>
          <w:rFonts w:hint="eastAsia" w:ascii="Times New Roman" w:hAnsi="Times New Roman" w:eastAsia="仿宋_GB2312" w:cs="仿宋_GB2312"/>
          <w:color w:val="auto"/>
          <w:kern w:val="2"/>
          <w:sz w:val="32"/>
          <w:szCs w:val="32"/>
          <w:highlight w:val="none"/>
          <w:lang w:val="en-US" w:eastAsia="zh-CN" w:bidi="ar"/>
        </w:rPr>
        <w:t>办结时间：中介机构提交项目信息当日办结。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办理方式：工程科在威海市产权电子交易系统内查验中介机构提交的项目信息并进行登记。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项目信息包括以下内容：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.2.1 </w:t>
      </w:r>
      <w:r>
        <w:rPr>
          <w:rFonts w:hint="eastAsia" w:ascii="Times New Roman" w:hAnsi="Times New Roman" w:eastAsia="仿宋_GB2312" w:cs="仿宋_GB2312"/>
          <w:color w:val="auto"/>
          <w:kern w:val="2"/>
          <w:sz w:val="32"/>
          <w:szCs w:val="32"/>
          <w:highlight w:val="none"/>
          <w:lang w:val="en-US" w:eastAsia="zh-CN" w:bidi="ar"/>
        </w:rPr>
        <w:t>资产转让进场交易申请书；</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.2.2 </w:t>
      </w:r>
      <w:r>
        <w:rPr>
          <w:rFonts w:hint="eastAsia" w:ascii="Times New Roman" w:hAnsi="Times New Roman" w:eastAsia="仿宋_GB2312" w:cs="仿宋_GB2312"/>
          <w:color w:val="auto"/>
          <w:kern w:val="2"/>
          <w:sz w:val="32"/>
          <w:szCs w:val="32"/>
          <w:highlight w:val="none"/>
          <w:lang w:val="en-US" w:eastAsia="zh-CN" w:bidi="ar"/>
        </w:rPr>
        <w:t>转让方委托代理合同；</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.2.3 </w:t>
      </w:r>
      <w:r>
        <w:rPr>
          <w:rFonts w:hint="eastAsia" w:ascii="Times New Roman" w:hAnsi="Times New Roman" w:eastAsia="仿宋_GB2312" w:cs="仿宋_GB2312"/>
          <w:color w:val="auto"/>
          <w:kern w:val="2"/>
          <w:sz w:val="32"/>
          <w:szCs w:val="32"/>
          <w:highlight w:val="none"/>
          <w:lang w:val="en-US" w:eastAsia="zh-CN" w:bidi="ar"/>
        </w:rPr>
        <w:t>转让方资格证明：营业执照、法人证明、法人身份证、授权委托书及委托人身份证明；</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.2.4 </w:t>
      </w:r>
      <w:r>
        <w:rPr>
          <w:rFonts w:hint="eastAsia" w:ascii="Times New Roman" w:hAnsi="Times New Roman" w:eastAsia="仿宋_GB2312" w:cs="仿宋_GB2312"/>
          <w:color w:val="auto"/>
          <w:kern w:val="2"/>
          <w:sz w:val="32"/>
          <w:szCs w:val="32"/>
          <w:highlight w:val="none"/>
          <w:lang w:val="en-US" w:eastAsia="zh-CN" w:bidi="ar"/>
        </w:rPr>
        <w:t>资产权属证明：《房屋所有权证书》复印件、《土地使用权证书》复印件等；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.2.5 </w:t>
      </w:r>
      <w:r>
        <w:rPr>
          <w:rFonts w:hint="eastAsia" w:ascii="Times New Roman" w:hAnsi="Times New Roman" w:eastAsia="仿宋_GB2312" w:cs="仿宋_GB2312"/>
          <w:color w:val="auto"/>
          <w:kern w:val="2"/>
          <w:sz w:val="32"/>
          <w:szCs w:val="32"/>
          <w:highlight w:val="none"/>
          <w:lang w:val="en-US" w:eastAsia="zh-CN" w:bidi="ar"/>
        </w:rPr>
        <w:t>资产转让行为内部决策情况和批准情况：转让方同意文件决议、国有资产管理部门或其授权机构批准文件（如没有可不提供）；</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.2.6 </w:t>
      </w:r>
      <w:r>
        <w:rPr>
          <w:rFonts w:hint="eastAsia" w:ascii="Times New Roman" w:hAnsi="Times New Roman" w:eastAsia="仿宋_GB2312" w:cs="仿宋_GB2312"/>
          <w:color w:val="auto"/>
          <w:kern w:val="2"/>
          <w:sz w:val="32"/>
          <w:szCs w:val="32"/>
          <w:highlight w:val="none"/>
          <w:lang w:val="en-US" w:eastAsia="zh-CN" w:bidi="ar"/>
        </w:rPr>
        <w:t>转让标的资产评估报告：资产评估报告书、国有资产管理部门或其授权机构核准或备案文件（如有）。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640" w:leftChars="200" w:right="0"/>
        <w:jc w:val="both"/>
        <w:textAlignment w:val="auto"/>
        <w:rPr>
          <w:rFonts w:hint="eastAsia" w:ascii="Times New Roman" w:hAnsi="Times New Roman" w:eastAsia="仿宋_GB2312" w:cs="仿宋_GB2312"/>
          <w:color w:val="auto"/>
          <w:kern w:val="2"/>
          <w:sz w:val="32"/>
          <w:szCs w:val="32"/>
          <w:highlight w:val="none"/>
          <w:lang w:val="en-US" w:eastAsia="zh-CN" w:bidi="ar"/>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.3 </w:t>
      </w:r>
      <w:r>
        <w:rPr>
          <w:rFonts w:hint="eastAsia" w:ascii="Times New Roman" w:hAnsi="Times New Roman" w:eastAsia="仿宋_GB2312" w:cs="仿宋_GB2312"/>
          <w:color w:val="auto"/>
          <w:kern w:val="2"/>
          <w:sz w:val="32"/>
          <w:szCs w:val="32"/>
          <w:highlight w:val="none"/>
          <w:lang w:val="en-US" w:eastAsia="zh-CN" w:bidi="ar"/>
        </w:rPr>
        <w:t>公告发布。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640" w:leftChars="200" w:right="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办结时间：当日办结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工程科负责在</w:t>
      </w:r>
      <w:r>
        <w:rPr>
          <w:rFonts w:hint="eastAsia" w:ascii="Times New Roman" w:hAnsi="Times New Roman" w:eastAsia="仿宋_GB2312" w:cs="仿宋_GB2312"/>
          <w:bCs/>
          <w:color w:val="auto"/>
          <w:kern w:val="2"/>
          <w:sz w:val="32"/>
          <w:szCs w:val="24"/>
          <w:highlight w:val="none"/>
          <w:lang w:val="en-US" w:eastAsia="zh-CN" w:bidi="ar"/>
        </w:rPr>
        <w:t>“威海市公共资源交易平台（乳山市）”</w:t>
      </w:r>
      <w:r>
        <w:rPr>
          <w:rFonts w:hint="eastAsia" w:ascii="Times New Roman" w:hAnsi="Times New Roman" w:eastAsia="仿宋_GB2312" w:cs="仿宋_GB2312"/>
          <w:color w:val="auto"/>
          <w:kern w:val="2"/>
          <w:sz w:val="32"/>
          <w:szCs w:val="32"/>
          <w:highlight w:val="none"/>
          <w:lang w:val="en-US" w:eastAsia="zh-CN" w:bidi="ar"/>
        </w:rPr>
        <w:t>发布出让公告，转让底价低于100万元的资产转让项目，信息公告期应不少于5个工作日；转让底价高于100万元、低于1000万元的资产转让项目，信息公告期应不少于10个工作日；转让底价高于1000万元的资产转让项目，信息公告期应不少于20个工作日。</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办理方式：威海市产权电子交易系统内网上办理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.4 </w:t>
      </w:r>
      <w:r>
        <w:rPr>
          <w:rFonts w:hint="eastAsia" w:ascii="Times New Roman" w:hAnsi="Times New Roman" w:eastAsia="仿宋_GB2312" w:cs="仿宋_GB2312"/>
          <w:color w:val="auto"/>
          <w:kern w:val="2"/>
          <w:sz w:val="32"/>
          <w:szCs w:val="32"/>
          <w:highlight w:val="none"/>
          <w:lang w:val="en-US" w:eastAsia="zh-CN" w:bidi="ar"/>
        </w:rPr>
        <w:t>网上竞拍。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办结时间：当日办结。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办理方式：工程科提供交易系统相关服务并对交易过程动态留痕，发现问题按相关规定处理，并向市国有资产管理部门和有关部门报告。</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cs="仿宋_GB2312"/>
          <w:color w:val="auto"/>
          <w:kern w:val="2"/>
          <w:sz w:val="32"/>
          <w:szCs w:val="32"/>
          <w:highlight w:val="none"/>
          <w:lang w:val="en-US" w:eastAsia="zh-CN" w:bidi="ar"/>
        </w:rPr>
        <w:t>4</w:t>
      </w:r>
      <w:r>
        <w:rPr>
          <w:rFonts w:hint="default" w:ascii="Times New Roman" w:hAnsi="Times New Roman" w:eastAsia="仿宋_GB2312" w:cs="仿宋_GB2312"/>
          <w:color w:val="auto"/>
          <w:kern w:val="2"/>
          <w:sz w:val="32"/>
          <w:szCs w:val="32"/>
          <w:highlight w:val="none"/>
          <w:lang w:val="en-US" w:eastAsia="zh-CN" w:bidi="ar"/>
        </w:rPr>
        <w:t xml:space="preserve">.5 </w:t>
      </w:r>
      <w:r>
        <w:rPr>
          <w:rFonts w:hint="eastAsia" w:ascii="Times New Roman" w:hAnsi="Times New Roman" w:eastAsia="仿宋_GB2312" w:cs="仿宋_GB2312"/>
          <w:color w:val="auto"/>
          <w:kern w:val="2"/>
          <w:sz w:val="32"/>
          <w:szCs w:val="32"/>
          <w:highlight w:val="none"/>
          <w:lang w:val="en-US" w:eastAsia="zh-CN" w:bidi="ar"/>
        </w:rPr>
        <w:t>发布结果公示和签订《产权电子交易系统竞价结果通知书》。</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办结时间：成交公示当日办结，《产权电子交易系统竞价结果通知书》于公示期满后签订办结。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仿宋_GB2312"/>
          <w:color w:val="auto"/>
          <w:szCs w:val="32"/>
          <w:highlight w:val="none"/>
          <w:lang w:val="en-US"/>
        </w:rPr>
      </w:pPr>
      <w:r>
        <w:rPr>
          <w:rFonts w:hint="eastAsia" w:ascii="Times New Roman" w:hAnsi="Times New Roman" w:eastAsia="仿宋_GB2312" w:cs="仿宋_GB2312"/>
          <w:color w:val="auto"/>
          <w:kern w:val="2"/>
          <w:sz w:val="32"/>
          <w:szCs w:val="32"/>
          <w:highlight w:val="none"/>
          <w:lang w:val="en-US" w:eastAsia="zh-CN" w:bidi="ar"/>
        </w:rPr>
        <w:t>办理方式：工程科在威海市公共资源交易平台（乳山市）公开发布成交公示，公示期不少于</w:t>
      </w:r>
      <w:r>
        <w:rPr>
          <w:rFonts w:hint="default" w:ascii="Times New Roman" w:hAnsi="Times New Roman" w:eastAsia="仿宋_GB2312" w:cs="仿宋_GB2312"/>
          <w:color w:val="auto"/>
          <w:kern w:val="2"/>
          <w:sz w:val="32"/>
          <w:szCs w:val="32"/>
          <w:highlight w:val="none"/>
          <w:lang w:val="en-US" w:eastAsia="zh-CN" w:bidi="ar"/>
        </w:rPr>
        <w:t>5</w:t>
      </w:r>
      <w:r>
        <w:rPr>
          <w:rFonts w:hint="eastAsia" w:ascii="Times New Roman" w:hAnsi="Times New Roman" w:eastAsia="仿宋_GB2312" w:cs="仿宋_GB2312"/>
          <w:color w:val="auto"/>
          <w:kern w:val="2"/>
          <w:sz w:val="32"/>
          <w:szCs w:val="32"/>
          <w:highlight w:val="none"/>
          <w:lang w:val="en-US" w:eastAsia="zh-CN" w:bidi="ar"/>
        </w:rPr>
        <w:t>个法定工作日。公示期满无异议的，中介机构和买受人签订《产权电子交易系统竞价结果通知书》，交易中心加盖见证专章。</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Times New Roman"/>
          <w:color w:val="auto"/>
          <w:kern w:val="2"/>
          <w:sz w:val="32"/>
          <w:szCs w:val="32"/>
          <w:highlight w:val="none"/>
          <w:lang w:val="en-US" w:eastAsia="zh-CN" w:bidi="ar"/>
        </w:rPr>
        <w:t>4</w:t>
      </w:r>
      <w:r>
        <w:rPr>
          <w:rFonts w:hint="default" w:ascii="Times New Roman" w:hAnsi="Times New Roman" w:eastAsia="仿宋_GB2312" w:cs="Times New Roman"/>
          <w:color w:val="auto"/>
          <w:kern w:val="2"/>
          <w:sz w:val="32"/>
          <w:szCs w:val="32"/>
          <w:highlight w:val="none"/>
          <w:lang w:val="en-US" w:eastAsia="zh-CN" w:bidi="ar"/>
        </w:rPr>
        <w:t xml:space="preserve">.6 </w:t>
      </w:r>
      <w:r>
        <w:rPr>
          <w:rFonts w:hint="eastAsia" w:ascii="Times New Roman" w:hAnsi="Times New Roman" w:eastAsia="仿宋_GB2312" w:cs="Times New Roman"/>
          <w:color w:val="auto"/>
          <w:kern w:val="2"/>
          <w:sz w:val="32"/>
          <w:szCs w:val="32"/>
          <w:highlight w:val="none"/>
          <w:lang w:val="en-US" w:eastAsia="zh-CN" w:bidi="ar"/>
        </w:rPr>
        <w:t>数据统计。</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Times New Roman"/>
          <w:color w:val="auto"/>
          <w:kern w:val="2"/>
          <w:sz w:val="32"/>
          <w:szCs w:val="32"/>
          <w:highlight w:val="none"/>
          <w:lang w:val="en-US" w:eastAsia="zh-CN" w:bidi="ar"/>
        </w:rPr>
        <w:t>4</w:t>
      </w:r>
      <w:r>
        <w:rPr>
          <w:rFonts w:hint="default" w:ascii="Times New Roman" w:hAnsi="Times New Roman" w:eastAsia="仿宋_GB2312" w:cs="Times New Roman"/>
          <w:color w:val="auto"/>
          <w:kern w:val="2"/>
          <w:sz w:val="32"/>
          <w:szCs w:val="32"/>
          <w:highlight w:val="none"/>
          <w:lang w:val="en-US" w:eastAsia="zh-CN" w:bidi="ar"/>
        </w:rPr>
        <w:t xml:space="preserve">.6.1 </w:t>
      </w:r>
      <w:r>
        <w:rPr>
          <w:rFonts w:hint="eastAsia" w:ascii="Times New Roman" w:hAnsi="Times New Roman" w:eastAsia="仿宋_GB2312" w:cs="Times New Roman"/>
          <w:color w:val="auto"/>
          <w:kern w:val="2"/>
          <w:sz w:val="32"/>
          <w:szCs w:val="32"/>
          <w:highlight w:val="none"/>
          <w:lang w:val="en-US" w:eastAsia="zh-CN" w:bidi="ar"/>
        </w:rPr>
        <w:t>对交易数据进行统计，将统计结果推送至有关电子服务系统和行政监督部门。</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Times New Roman"/>
          <w:color w:val="auto"/>
          <w:kern w:val="2"/>
          <w:sz w:val="32"/>
          <w:szCs w:val="32"/>
          <w:highlight w:val="none"/>
          <w:lang w:val="en-US" w:eastAsia="zh-CN" w:bidi="ar"/>
        </w:rPr>
        <w:t>4</w:t>
      </w:r>
      <w:r>
        <w:rPr>
          <w:rFonts w:hint="default" w:ascii="Times New Roman" w:hAnsi="Times New Roman" w:eastAsia="仿宋_GB2312" w:cs="Times New Roman"/>
          <w:color w:val="auto"/>
          <w:kern w:val="2"/>
          <w:sz w:val="32"/>
          <w:szCs w:val="32"/>
          <w:highlight w:val="none"/>
          <w:lang w:val="en-US" w:eastAsia="zh-CN" w:bidi="ar"/>
        </w:rPr>
        <w:t xml:space="preserve">.6.2 </w:t>
      </w:r>
      <w:r>
        <w:rPr>
          <w:rFonts w:hint="eastAsia" w:ascii="Times New Roman" w:hAnsi="Times New Roman" w:eastAsia="仿宋_GB2312" w:cs="Times New Roman"/>
          <w:color w:val="auto"/>
          <w:kern w:val="2"/>
          <w:sz w:val="32"/>
          <w:szCs w:val="32"/>
          <w:highlight w:val="none"/>
          <w:lang w:val="en-US" w:eastAsia="zh-CN" w:bidi="ar"/>
        </w:rPr>
        <w:t>开展交易大数据分析，为宏观经济决策、优化营商环境、规范交易市场提供支撑。</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Times New Roman"/>
          <w:color w:val="auto"/>
          <w:kern w:val="2"/>
          <w:sz w:val="32"/>
          <w:szCs w:val="32"/>
          <w:highlight w:val="none"/>
          <w:lang w:val="en-US" w:eastAsia="zh-CN" w:bidi="ar"/>
        </w:rPr>
        <w:t>4</w:t>
      </w:r>
      <w:r>
        <w:rPr>
          <w:rFonts w:hint="default" w:ascii="Times New Roman" w:hAnsi="Times New Roman" w:eastAsia="仿宋_GB2312" w:cs="Times New Roman"/>
          <w:color w:val="auto"/>
          <w:kern w:val="2"/>
          <w:sz w:val="32"/>
          <w:szCs w:val="32"/>
          <w:highlight w:val="none"/>
          <w:lang w:val="en-US" w:eastAsia="zh-CN" w:bidi="ar"/>
        </w:rPr>
        <w:t xml:space="preserve">.7 </w:t>
      </w:r>
      <w:r>
        <w:rPr>
          <w:rFonts w:hint="eastAsia" w:ascii="Times New Roman" w:hAnsi="Times New Roman" w:eastAsia="仿宋_GB2312" w:cs="Times New Roman"/>
          <w:color w:val="auto"/>
          <w:kern w:val="2"/>
          <w:sz w:val="32"/>
          <w:szCs w:val="32"/>
          <w:highlight w:val="none"/>
          <w:lang w:val="en-US" w:eastAsia="zh-CN" w:bidi="ar"/>
        </w:rPr>
        <w:t>资料归档。</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Times New Roman"/>
          <w:color w:val="auto"/>
          <w:kern w:val="2"/>
          <w:sz w:val="32"/>
          <w:szCs w:val="32"/>
          <w:highlight w:val="none"/>
          <w:lang w:val="en-US" w:eastAsia="zh-CN" w:bidi="ar"/>
        </w:rPr>
        <w:t>4</w:t>
      </w:r>
      <w:r>
        <w:rPr>
          <w:rFonts w:hint="default" w:ascii="Times New Roman" w:hAnsi="Times New Roman" w:eastAsia="仿宋_GB2312" w:cs="Times New Roman"/>
          <w:color w:val="auto"/>
          <w:kern w:val="2"/>
          <w:sz w:val="32"/>
          <w:szCs w:val="32"/>
          <w:highlight w:val="none"/>
          <w:lang w:val="en-US" w:eastAsia="zh-CN" w:bidi="ar"/>
        </w:rPr>
        <w:t xml:space="preserve">.7.1 </w:t>
      </w:r>
      <w:r>
        <w:rPr>
          <w:rFonts w:hint="eastAsia" w:ascii="Times New Roman" w:hAnsi="Times New Roman" w:eastAsia="仿宋_GB2312" w:cs="Times New Roman"/>
          <w:color w:val="auto"/>
          <w:kern w:val="2"/>
          <w:sz w:val="32"/>
          <w:szCs w:val="32"/>
          <w:highlight w:val="none"/>
          <w:lang w:val="en-US" w:eastAsia="zh-CN" w:bidi="ar"/>
        </w:rPr>
        <w:t>按照“一项一档”的要求，</w:t>
      </w:r>
      <w:r>
        <w:rPr>
          <w:rFonts w:hint="eastAsia" w:ascii="Times New Roman" w:hAnsi="Times New Roman" w:eastAsia="仿宋_GB2312" w:cs="Times New Roman"/>
          <w:color w:val="auto"/>
          <w:spacing w:val="-6"/>
          <w:kern w:val="0"/>
          <w:sz w:val="32"/>
          <w:szCs w:val="32"/>
          <w:highlight w:val="none"/>
          <w:lang w:val="en-US" w:eastAsia="zh-CN" w:bidi="ar"/>
        </w:rPr>
        <w:t>将</w:t>
      </w:r>
      <w:r>
        <w:rPr>
          <w:rFonts w:hint="eastAsia" w:ascii="Times New Roman" w:hAnsi="Times New Roman" w:eastAsia="仿宋_GB2312" w:cs="Times New Roman"/>
          <w:color w:val="auto"/>
          <w:kern w:val="2"/>
          <w:sz w:val="32"/>
          <w:szCs w:val="32"/>
          <w:highlight w:val="none"/>
          <w:lang w:val="en-US" w:eastAsia="zh-CN" w:bidi="ar"/>
        </w:rPr>
        <w:t>交易过程中产生的电子文档、纸质资料整理后，移送档案室统一管理。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ascii="Times New Roman" w:hAnsi="Times New Roman" w:cs="Times New Roman"/>
          <w:color w:val="auto"/>
          <w:szCs w:val="32"/>
          <w:highlight w:val="none"/>
          <w:lang w:val="en-US"/>
        </w:rPr>
      </w:pPr>
      <w:r>
        <w:rPr>
          <w:rFonts w:hint="eastAsia" w:ascii="Times New Roman" w:hAnsi="Times New Roman" w:cs="Times New Roman"/>
          <w:color w:val="auto"/>
          <w:kern w:val="2"/>
          <w:sz w:val="32"/>
          <w:szCs w:val="32"/>
          <w:highlight w:val="none"/>
          <w:lang w:val="en-US" w:eastAsia="zh-CN" w:bidi="ar"/>
        </w:rPr>
        <w:t>4</w:t>
      </w:r>
      <w:r>
        <w:rPr>
          <w:rFonts w:hint="default" w:ascii="Times New Roman" w:hAnsi="Times New Roman" w:eastAsia="仿宋_GB2312" w:cs="Times New Roman"/>
          <w:color w:val="auto"/>
          <w:kern w:val="2"/>
          <w:sz w:val="32"/>
          <w:szCs w:val="32"/>
          <w:highlight w:val="none"/>
          <w:lang w:val="en-US" w:eastAsia="zh-CN" w:bidi="ar"/>
        </w:rPr>
        <w:t xml:space="preserve">.7.2 </w:t>
      </w:r>
      <w:r>
        <w:rPr>
          <w:rFonts w:hint="eastAsia" w:ascii="Times New Roman" w:hAnsi="Times New Roman" w:eastAsia="仿宋_GB2312" w:cs="Times New Roman"/>
          <w:color w:val="auto"/>
          <w:kern w:val="2"/>
          <w:sz w:val="32"/>
          <w:szCs w:val="32"/>
          <w:highlight w:val="none"/>
          <w:lang w:val="en-US" w:eastAsia="zh-CN" w:bidi="ar"/>
        </w:rPr>
        <w:t>为公共资源交易综合管理、行政监督部门和其他有关单位提供档案查询服务。</w:t>
      </w: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ascii="Times New Roman" w:hAnsi="Times New Roman"/>
          <w:color w:val="auto"/>
          <w:highlight w:val="none"/>
        </w:rPr>
      </w:pPr>
      <w:r>
        <w:rPr>
          <w:rFonts w:ascii="Times New Roman" w:hAnsi="Times New Roman"/>
          <w:color w:val="auto"/>
          <w:highlight w:val="none"/>
        </w:rPr>
        <w:drawing>
          <wp:anchor distT="0" distB="0" distL="114300" distR="114300" simplePos="0" relativeHeight="251659264" behindDoc="0" locked="0" layoutInCell="1" allowOverlap="1">
            <wp:simplePos x="0" y="0"/>
            <wp:positionH relativeFrom="column">
              <wp:posOffset>380365</wp:posOffset>
            </wp:positionH>
            <wp:positionV relativeFrom="paragraph">
              <wp:posOffset>46355</wp:posOffset>
            </wp:positionV>
            <wp:extent cx="4914900" cy="7919720"/>
            <wp:effectExtent l="0" t="0" r="0" b="5080"/>
            <wp:wrapNone/>
            <wp:docPr id="21"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3"/>
                    <pic:cNvPicPr>
                      <a:picLocks noChangeAspect="1"/>
                    </pic:cNvPicPr>
                  </pic:nvPicPr>
                  <pic:blipFill>
                    <a:blip r:embed="rId4"/>
                    <a:stretch>
                      <a:fillRect/>
                    </a:stretch>
                  </pic:blipFill>
                  <pic:spPr>
                    <a:xfrm>
                      <a:off x="0" y="0"/>
                      <a:ext cx="4914900" cy="7919720"/>
                    </a:xfrm>
                    <a:prstGeom prst="rect">
                      <a:avLst/>
                    </a:prstGeom>
                    <a:noFill/>
                    <a:ln>
                      <a:noFill/>
                    </a:ln>
                  </pic:spPr>
                </pic:pic>
              </a:graphicData>
            </a:graphic>
          </wp:anchor>
        </w:drawing>
      </w: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ascii="Times New Roman" w:hAnsi="Times New Roman"/>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ascii="Times New Roman" w:hAnsi="Times New Roman"/>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p>
      <w:pPr>
        <w:pStyle w:val="2"/>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Times New Roman" w:hAnsi="Times New Roman" w:eastAsia="方正小标宋简体" w:cs="方正小标宋简体"/>
          <w:b w:val="0"/>
          <w:bCs/>
          <w:color w:val="auto"/>
          <w:highlight w:val="none"/>
        </w:rPr>
      </w:pPr>
    </w:p>
    <w:bookmarkEnd w:id="1"/>
    <w:p>
      <w:pPr>
        <w:rPr>
          <w:rFonts w:ascii="Times New Roman" w:hAnsi="Times New Roman"/>
          <w:color w:val="auto"/>
          <w:highlight w:val="none"/>
        </w:rPr>
      </w:pPr>
    </w:p>
    <w:p>
      <w:pPr>
        <w:rPr>
          <w:rFonts w:ascii="Times New Roman" w:hAnsi="Times New Roman"/>
          <w:color w:val="auto"/>
          <w:highlight w:val="none"/>
        </w:rPr>
      </w:pPr>
    </w:p>
    <w:p>
      <w:bookmarkStart w:id="2" w:name="_GoBack"/>
      <w:bookmarkEnd w:id="2"/>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xN2ZhZGRlNzZjNjg4ZjdjMDY2YjQ1MmFiYTI2YjEifQ=="/>
  </w:docVars>
  <w:rsids>
    <w:rsidRoot w:val="00000000"/>
    <w:rsid w:val="370E20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heme="minorBidi"/>
      <w:kern w:val="2"/>
      <w:sz w:val="32"/>
      <w:szCs w:val="24"/>
      <w:lang w:val="en-US" w:eastAsia="zh-CN" w:bidi="ar-SA"/>
    </w:rPr>
  </w:style>
  <w:style w:type="paragraph" w:styleId="2">
    <w:name w:val="heading 1"/>
    <w:next w:val="1"/>
    <w:qFormat/>
    <w:uiPriority w:val="0"/>
    <w:pPr>
      <w:keepNext/>
      <w:keepLines/>
      <w:widowControl w:val="0"/>
      <w:spacing w:beforeLines="0" w:beforeAutospacing="0" w:afterLines="0" w:afterAutospacing="0" w:line="560" w:lineRule="exact"/>
      <w:jc w:val="center"/>
      <w:outlineLvl w:val="0"/>
    </w:pPr>
    <w:rPr>
      <w:rFonts w:ascii="Times New Roman" w:hAnsi="Times New Roman" w:eastAsia="方正小标宋简体" w:cstheme="minorBidi"/>
      <w:kern w:val="44"/>
      <w:sz w:val="44"/>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2023-03-29T03:20:48Z</dcterms:created>
  <dc:creator>jyzx11</dc:creator>
  <cp:lastModifiedBy>jyzx11</cp:lastModifiedBy>
  <dcterms:modified xsi:type="dcterms:W3CDTF">2023-03-29T03:20:53Z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C8182E2F88B54A12B9BFAD14F410D2B4</vt:lpwstr>
  </property>
</Properties>
</file>