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乳山市中医院微信公众号升级改造及AI智能导诊采购项目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SDGP371083000202602000028</w:t>
      </w:r>
    </w:p>
    <w:p>
      <w:pPr>
        <w:pStyle w:val="null5"/>
        <w:jc w:val="left"/>
        <w:outlineLvl w:val="2"/>
      </w:pPr>
      <w:r>
        <w:rPr>
          <w:rFonts w:ascii="仿宋_GB2312" w:hAnsi="仿宋_GB2312" w:cs="仿宋_GB2312" w:eastAsia="仿宋_GB2312"/>
          <w:sz w:val="28"/>
          <w:b/>
        </w:rPr>
        <w:t>乳山市中医院（乳山市中医康复医院）</w:t>
      </w:r>
    </w:p>
    <w:p>
      <w:pPr>
        <w:pStyle w:val="null5"/>
        <w:jc w:val="center"/>
        <w:outlineLvl w:val="2"/>
      </w:pPr>
      <w:r>
        <w:rPr>
          <w:rFonts w:ascii="仿宋_GB2312" w:hAnsi="仿宋_GB2312" w:cs="仿宋_GB2312" w:eastAsia="仿宋_GB2312"/>
          <w:sz w:val="28"/>
          <w:b/>
        </w:rPr>
        <w:t>山东乾裕工程项目管理有限公司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2026年05月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山东乾裕工程项目管理有限公司</w:t>
      </w:r>
      <w:r>
        <w:rPr>
          <w:rFonts w:ascii="仿宋_GB2312" w:hAnsi="仿宋_GB2312" w:cs="仿宋_GB2312" w:eastAsia="仿宋_GB2312"/>
        </w:rPr>
        <w:t xml:space="preserve">（以下简称“代理机构”）受 </w:t>
      </w:r>
      <w:r>
        <w:rPr>
          <w:rFonts w:ascii="仿宋_GB2312" w:hAnsi="仿宋_GB2312" w:cs="仿宋_GB2312" w:eastAsia="仿宋_GB2312"/>
        </w:rPr>
        <w:t>乳山市中医院（乳山市中医康复医院）</w:t>
      </w:r>
      <w:r>
        <w:rPr>
          <w:rFonts w:ascii="仿宋_GB2312" w:hAnsi="仿宋_GB2312" w:cs="仿宋_GB2312" w:eastAsia="仿宋_GB2312"/>
        </w:rPr>
        <w:t xml:space="preserve"> （以下简称“采购人”）委托，拟对</w:t>
      </w:r>
      <w:r>
        <w:rPr>
          <w:rFonts w:ascii="仿宋_GB2312" w:hAnsi="仿宋_GB2312" w:cs="仿宋_GB2312" w:eastAsia="仿宋_GB2312"/>
        </w:rPr>
        <w:t>乳山市中医院微信公众号升级改造及AI智能导诊采购项目</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威海市乳山市</w:t>
      </w:r>
      <w:r>
        <w:rPr>
          <w:rFonts w:ascii="仿宋_GB2312" w:hAnsi="仿宋_GB2312" w:cs="仿宋_GB2312" w:eastAsia="仿宋_GB2312"/>
        </w:rPr>
        <w:t>政府采购项目，适用《中华人民共和国政府采购法》等法律制度规定。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SDGP371083000202602000028</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乳山市中医院微信公众号升级改造及AI智能导诊采购项目</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 xml:space="preserve"> 为贯彻落实《国务院办公厅关于促进“互联网+医疗健康”发展的意见》有关要求，进一步满足人民群众对日益增长的更高水平医疗服务追求与需要，本项目需在医院互联网服务系统基础上进行扩展。扩展功能应与现有系统融合，为用户提供完整一体化的互联网医疗服务。</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1、具有独立承担民事责任的能力：有效的营业执照副本扫描件或其他能证明具有独立承担民事责任能力的材料扫描件（银行、保险、石油石化、电力、电信等特殊行业分公司报价须提供总公司的授权）。</w:t>
      </w:r>
    </w:p>
    <w:p>
      <w:pPr>
        <w:pStyle w:val="null5"/>
        <w:jc w:val="left"/>
      </w:pPr>
      <w:r>
        <w:rPr>
          <w:rFonts w:ascii="仿宋_GB2312" w:hAnsi="仿宋_GB2312" w:cs="仿宋_GB2312" w:eastAsia="仿宋_GB2312"/>
        </w:rPr>
        <w:t>2、法人授权委托书、被授权人身份证扫描件：法定代表人或负责人（以第1条证明材料载明的信息为准）授权委托书、被授权人身份证扫描件； 若报价单位代表为企业法定代表人/单位负责人的，则只需提供企业法定代表人/单位负责人身份证扫描件。</w:t>
      </w:r>
    </w:p>
    <w:p>
      <w:pPr>
        <w:pStyle w:val="null5"/>
        <w:jc w:val="left"/>
      </w:pPr>
      <w:r>
        <w:rPr>
          <w:rFonts w:ascii="仿宋_GB2312" w:hAnsi="仿宋_GB2312" w:cs="仿宋_GB2312" w:eastAsia="仿宋_GB2312"/>
        </w:rPr>
        <w:t>3、报价单位依法交纳税收和社会保障资金的声明：报价单位依法缴纳税收和社会保障资金的声明（未在山东省内缴纳税收和社会保障资金的供应商必须提供近期缴纳税收和社会保障资金的证明材料；依法免税或不需要缴纳社会保障资金的供应商，应提供相关证明材料）；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p>
      <w:pPr>
        <w:pStyle w:val="null5"/>
        <w:jc w:val="left"/>
      </w:pPr>
      <w:r>
        <w:rPr>
          <w:rFonts w:ascii="仿宋_GB2312" w:hAnsi="仿宋_GB2312" w:cs="仿宋_GB2312" w:eastAsia="仿宋_GB2312"/>
        </w:rPr>
        <w:t>4、参加政府采购活动前三年内在经营活动中没有重大违法记录：报价单位参加本项目报价前三年内无重大违法违纪行为声明，加盖公章。</w:t>
      </w:r>
    </w:p>
    <w:p>
      <w:pPr>
        <w:pStyle w:val="null5"/>
        <w:jc w:val="left"/>
      </w:pPr>
      <w:r>
        <w:rPr>
          <w:rFonts w:ascii="仿宋_GB2312" w:hAnsi="仿宋_GB2312" w:cs="仿宋_GB2312" w:eastAsia="仿宋_GB2312"/>
        </w:rPr>
        <w:t>5、具有履行合同所必需的设备和专业技术能力：报价单位具有履行合同所必需的设备和专业技术能力声明。</w:t>
      </w:r>
    </w:p>
    <w:p>
      <w:pPr>
        <w:pStyle w:val="null5"/>
        <w:jc w:val="left"/>
      </w:pPr>
      <w:r>
        <w:rPr>
          <w:rFonts w:ascii="仿宋_GB2312" w:hAnsi="仿宋_GB2312" w:cs="仿宋_GB2312" w:eastAsia="仿宋_GB2312"/>
        </w:rPr>
        <w:t>6、具有良好的商业信誉和健全的财务会计制度：报价单位提供良好商业信誉和健全财务会计制度的声明，加盖公章。</w:t>
      </w:r>
    </w:p>
    <w:p>
      <w:pPr>
        <w:pStyle w:val="null5"/>
        <w:jc w:val="left"/>
      </w:pPr>
      <w:r>
        <w:rPr>
          <w:rFonts w:ascii="仿宋_GB2312" w:hAnsi="仿宋_GB2312" w:cs="仿宋_GB2312" w:eastAsia="仿宋_GB2312"/>
        </w:rPr>
        <w:t>7、财务报告：报价单位自行编制的近期财务报表；或由中介机构出具的财务审计报告扫描件（2024年度或2025年度）；或银行出具的有效期内的资信证明扫描件，提供上述三种证明材料中的任意一种均可。</w:t>
      </w:r>
    </w:p>
    <w:p>
      <w:pPr>
        <w:pStyle w:val="null5"/>
        <w:jc w:val="left"/>
      </w:pPr>
      <w:r>
        <w:rPr>
          <w:rFonts w:ascii="仿宋_GB2312" w:hAnsi="仿宋_GB2312" w:cs="仿宋_GB2312" w:eastAsia="仿宋_GB2312"/>
        </w:rPr>
        <w:t>8、无不良信用记录：信用信息查询（由代理机构查询“信用中国”、报价供应商所在地省级信用官方网站如:“信用山东”、“中国政府采购网”，对查询结果中涉及已列入失信被执行人、重大税收违法失信主体、政府采购严重违法失信行为记录名单及其他不符合《中华人民共和国政府采购法》第二十二条规定条件的投标人，将拒绝其继续参与政府采购活动。</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1.7.磋商文件获取时间、方式及地址</w:t>
      </w:r>
    </w:p>
    <w:p>
      <w:pPr>
        <w:pStyle w:val="null5"/>
        <w:ind w:firstLine="480"/>
        <w:jc w:val="both"/>
      </w:pPr>
      <w:r>
        <w:rPr>
          <w:rFonts w:ascii="仿宋_GB2312" w:hAnsi="仿宋_GB2312" w:cs="仿宋_GB2312" w:eastAsia="仿宋_GB2312"/>
        </w:rPr>
        <w:t>一、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乳山市中医院（乳山市中医康复医院）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乳山市胜利街128号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264500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刘欢欢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0631－6619908</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山东乾裕工程项目管理有限公司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烟台市莱山区五卒山北路12号飞龙智慧谷C座5楼</w:t>
      </w:r>
    </w:p>
    <w:p>
      <w:pPr>
        <w:pStyle w:val="null5"/>
      </w:pPr>
      <w:r>
        <w:rPr>
          <w:rFonts w:ascii="仿宋_GB2312" w:hAnsi="仿宋_GB2312" w:cs="仿宋_GB2312" w:eastAsia="仿宋_GB2312"/>
        </w:rPr>
        <w:t xml:space="preserve"> 邮编： </w:t>
      </w:r>
      <w:r>
        <w:rPr>
          <w:rFonts w:ascii="仿宋_GB2312" w:hAnsi="仿宋_GB2312" w:cs="仿宋_GB2312" w:eastAsia="仿宋_GB2312"/>
        </w:rPr>
        <w:t>264000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李明曼、王军艳</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0535-6686585</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采购包1：480,000.00元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自递交响应文件截止之日起 90 日历天 。响应文件未明确响应有效期或 者少于前述规定天数的，其响应文件按无效处理。</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代理服务费收费标准：参照“发改价格[2011]534号”规定的收费标准向成交供应商收取代理服务费。人民币4680.00元，由成交单位在签订合同前向采购代理机构缴纳。</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本项目共1个包</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乳山市中医院（乳山市中医康复医院）</w:t>
      </w:r>
      <w:r>
        <w:rPr>
          <w:rFonts w:ascii="仿宋_GB2312" w:hAnsi="仿宋_GB2312" w:cs="仿宋_GB2312" w:eastAsia="仿宋_GB2312"/>
        </w:rPr>
        <w:t>和</w:t>
      </w:r>
      <w:r>
        <w:rPr>
          <w:rFonts w:ascii="仿宋_GB2312" w:hAnsi="仿宋_GB2312" w:cs="仿宋_GB2312" w:eastAsia="仿宋_GB2312"/>
        </w:rPr>
        <w:t>山东乾裕工程项目管理有限公司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乳山市中医院（乳山市中医康复医院）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山东乾裕工程项目管理有限公司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成交单位完成全部服务内容后向采购人发出项目验收建议 </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依据采购文件、响应文件、合同进行验收。</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依据采购文件、响应文件、合同进行验收。</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依据采购文件、响应文件、合同进行验收。</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合同履行达到验收条件时，成交单位向采购人发出项目验收建议，采购人应及时启动项目验收，并通知成交单位。验收严格按照鲁财采〔2025〕9号山东省财政厅《关于进一步加强政府采购履约验收工作的指导意见》执行。</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乳山市中医院（乳山市中医康复医院）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山东乾裕工程项目管理有限公司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山东乾裕工程项目管理有限公司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 xml:space="preserve">            </w:t>
      </w:r>
    </w:p>
    <w:p>
      <w:pPr>
        <w:pStyle w:val="null5"/>
        <w:jc w:val="left"/>
      </w:pPr>
      <w:r>
        <w:rPr>
          <w:rFonts w:ascii="仿宋_GB2312" w:hAnsi="仿宋_GB2312" w:cs="仿宋_GB2312" w:eastAsia="仿宋_GB2312"/>
        </w:rPr>
        <w:t>答复主体：采购单位</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联系人：刘欢欢</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联系电话：0631－6619908</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地址：乳山市胜利街128号</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邮编：264500</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答复主体：代理机构</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联系人：李明曼</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联系电话：0535-6686585</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地址：烟台市莱山区五卒山北路12号飞龙智慧谷C座5楼</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邮编：264000</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480,000.00</w:t>
      </w:r>
    </w:p>
    <w:p>
      <w:pPr>
        <w:pStyle w:val="null5"/>
        <w:jc w:val="left"/>
      </w:pPr>
      <w:r>
        <w:rPr>
          <w:rFonts w:ascii="仿宋_GB2312" w:hAnsi="仿宋_GB2312" w:cs="仿宋_GB2312" w:eastAsia="仿宋_GB2312"/>
        </w:rPr>
        <w:t>采购包最高限价（元）: 480,000.00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乳山市中医院微信公众号升级改造及AI智能导诊采购项目</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480,000.00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乳山市中医院微信公众号升级改造及AI智能导诊采购项目</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480,000.00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乳山市中医院微信公众号升级改造及AI智能导诊采购项目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乳山市中医院微信公众号升级改造及AI智能导诊采购项目</w:t>
            </w:r>
          </w:p>
        </w:tc>
        <w:tc>
          <w:tcPr>
            <w:tcW w:type="dxa" w:w="2076"/>
          </w:tcPr>
          <w:p>
            <w:pPr>
              <w:pStyle w:val="null5"/>
              <w:jc w:val="left"/>
            </w:pPr>
            <w:r>
              <w:rPr>
                <w:rFonts w:ascii="仿宋_GB2312" w:hAnsi="仿宋_GB2312" w:cs="仿宋_GB2312" w:eastAsia="仿宋_GB2312"/>
              </w:rPr>
              <w:t>乳山市中医院微信公众号升级改造及AI智能导诊采购项目</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480,000.00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标的名称：乳山市中医院微信公众号升级改造及AI智能导诊采购项目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乳山市中医院微信公众号升级及AI智能导诊采购项目</w:t>
            </w:r>
          </w:p>
        </w:tc>
        <w:tc>
          <w:tcPr>
            <w:tcW w:type="dxa" w:w="2076"/>
          </w:tcPr>
          <w:p>
            <w:pPr>
              <w:pStyle w:val="null5"/>
              <w:jc w:val="left"/>
            </w:pPr>
            <w:r>
              <w:rPr>
                <w:rFonts w:ascii="仿宋_GB2312" w:hAnsi="仿宋_GB2312" w:cs="仿宋_GB2312" w:eastAsia="仿宋_GB2312"/>
                <w:sz w:val="21"/>
                <w:b/>
              </w:rPr>
              <w:t>一、项目名称：</w:t>
            </w:r>
            <w:r>
              <w:rPr>
                <w:rFonts w:ascii="仿宋_GB2312" w:hAnsi="仿宋_GB2312" w:cs="仿宋_GB2312" w:eastAsia="仿宋_GB2312"/>
                <w:sz w:val="21"/>
              </w:rPr>
              <w:t>乳山市中医院微信公众号升级改造及AI智能导诊采购项目</w:t>
            </w:r>
          </w:p>
          <w:p>
            <w:pPr>
              <w:pStyle w:val="null5"/>
              <w:jc w:val="left"/>
            </w:pPr>
            <w:r>
              <w:rPr>
                <w:rFonts w:ascii="仿宋_GB2312" w:hAnsi="仿宋_GB2312" w:cs="仿宋_GB2312" w:eastAsia="仿宋_GB2312"/>
                <w:sz w:val="21"/>
                <w:b/>
              </w:rPr>
              <w:t>二、项目技术说明及要求：</w:t>
            </w:r>
          </w:p>
          <w:p>
            <w:pPr>
              <w:pStyle w:val="null5"/>
              <w:ind w:firstLine="420"/>
              <w:jc w:val="left"/>
            </w:pPr>
            <w:r>
              <w:rPr>
                <w:rFonts w:ascii="仿宋_GB2312" w:hAnsi="仿宋_GB2312" w:cs="仿宋_GB2312" w:eastAsia="仿宋_GB2312"/>
                <w:sz w:val="21"/>
              </w:rPr>
              <w:t>为贯彻落实《国务院办公厅关于促进</w:t>
            </w:r>
            <w:r>
              <w:rPr>
                <w:rFonts w:ascii="仿宋_GB2312" w:hAnsi="仿宋_GB2312" w:cs="仿宋_GB2312" w:eastAsia="仿宋_GB2312"/>
                <w:sz w:val="21"/>
              </w:rPr>
              <w:t>“</w:t>
            </w:r>
            <w:r>
              <w:rPr>
                <w:rFonts w:ascii="仿宋_GB2312" w:hAnsi="仿宋_GB2312" w:cs="仿宋_GB2312" w:eastAsia="仿宋_GB2312"/>
                <w:sz w:val="21"/>
              </w:rPr>
              <w:t>互联网+医疗健康</w:t>
            </w:r>
            <w:r>
              <w:rPr>
                <w:rFonts w:ascii="仿宋_GB2312" w:hAnsi="仿宋_GB2312" w:cs="仿宋_GB2312" w:eastAsia="仿宋_GB2312"/>
                <w:sz w:val="21"/>
              </w:rPr>
              <w:t>”</w:t>
            </w:r>
            <w:r>
              <w:rPr>
                <w:rFonts w:ascii="仿宋_GB2312" w:hAnsi="仿宋_GB2312" w:cs="仿宋_GB2312" w:eastAsia="仿宋_GB2312"/>
                <w:sz w:val="21"/>
              </w:rPr>
              <w:t>发展的意见》有关要求，进一步满足人民群众对日益增长的更高水平医疗服务追求与需要，本项目需在医院互联网服务系统基础上进行扩展。扩展功能应与现有系统融合，为用户提供完整一体化的互联网医疗服务。</w:t>
            </w:r>
          </w:p>
          <w:p>
            <w:pPr>
              <w:pStyle w:val="null5"/>
              <w:ind w:firstLine="420"/>
              <w:jc w:val="left"/>
            </w:pPr>
            <w:r>
              <w:rPr>
                <w:rFonts w:ascii="仿宋_GB2312" w:hAnsi="仿宋_GB2312" w:cs="仿宋_GB2312" w:eastAsia="仿宋_GB2312"/>
                <w:sz w:val="21"/>
              </w:rPr>
              <w:t>应采用云计算技术，支持虚拟化系统构架，基于云计算模式部署。</w:t>
            </w:r>
          </w:p>
          <w:p>
            <w:pPr>
              <w:pStyle w:val="null5"/>
              <w:ind w:firstLine="420"/>
              <w:jc w:val="left"/>
            </w:pPr>
            <w:r>
              <w:rPr>
                <w:rFonts w:ascii="仿宋_GB2312" w:hAnsi="仿宋_GB2312" w:cs="仿宋_GB2312" w:eastAsia="仿宋_GB2312"/>
                <w:sz w:val="21"/>
              </w:rPr>
              <w:t>应具备负载均衡能力，能够实现系统的热部署，保证系统业务进行无感升级。</w:t>
            </w:r>
          </w:p>
          <w:p>
            <w:pPr>
              <w:pStyle w:val="null5"/>
              <w:ind w:firstLine="420"/>
              <w:jc w:val="left"/>
            </w:pPr>
            <w:r>
              <w:rPr>
                <w:rFonts w:ascii="仿宋_GB2312" w:hAnsi="仿宋_GB2312" w:cs="仿宋_GB2312" w:eastAsia="仿宋_GB2312"/>
                <w:sz w:val="21"/>
              </w:rPr>
              <w:t>应采用各业务模块微服务化设计，保障平台的性能。</w:t>
            </w:r>
          </w:p>
          <w:p>
            <w:pPr>
              <w:pStyle w:val="null5"/>
              <w:ind w:firstLine="420"/>
              <w:jc w:val="left"/>
            </w:pPr>
            <w:r>
              <w:rPr>
                <w:rFonts w:ascii="仿宋_GB2312" w:hAnsi="仿宋_GB2312" w:cs="仿宋_GB2312" w:eastAsia="仿宋_GB2312"/>
                <w:sz w:val="21"/>
              </w:rPr>
              <w:t>应采用云计算技术，支持虚拟化系统构架，基于云计算模式部署。</w:t>
            </w:r>
          </w:p>
          <w:p>
            <w:pPr>
              <w:pStyle w:val="null5"/>
              <w:ind w:firstLine="420"/>
              <w:jc w:val="left"/>
            </w:pPr>
            <w:r>
              <w:rPr>
                <w:rFonts w:ascii="仿宋_GB2312" w:hAnsi="仿宋_GB2312" w:cs="仿宋_GB2312" w:eastAsia="仿宋_GB2312"/>
                <w:sz w:val="21"/>
              </w:rPr>
              <w:t>应具备负载均衡能力，能够实现系统的热部署，保证系统业务进行无感升级。</w:t>
            </w:r>
          </w:p>
          <w:p>
            <w:pPr>
              <w:pStyle w:val="null5"/>
              <w:jc w:val="left"/>
            </w:pPr>
            <w:r>
              <w:rPr>
                <w:rFonts w:ascii="仿宋_GB2312" w:hAnsi="仿宋_GB2312" w:cs="仿宋_GB2312" w:eastAsia="仿宋_GB2312"/>
                <w:sz w:val="21"/>
              </w:rPr>
              <w:t>应采用各业务模块微服务化设计，保障平台的性能。</w:t>
            </w:r>
          </w:p>
          <w:p>
            <w:pPr>
              <w:pStyle w:val="null5"/>
              <w:ind w:firstLine="422"/>
              <w:jc w:val="left"/>
            </w:pPr>
            <w:r>
              <w:rPr>
                <w:rFonts w:ascii="仿宋_GB2312" w:hAnsi="仿宋_GB2312" w:cs="仿宋_GB2312" w:eastAsia="仿宋_GB2312"/>
                <w:sz w:val="21"/>
                <w:b/>
              </w:rPr>
              <w:t>1</w:t>
            </w:r>
            <w:r>
              <w:rPr>
                <w:rFonts w:ascii="仿宋_GB2312" w:hAnsi="仿宋_GB2312" w:cs="仿宋_GB2312" w:eastAsia="仿宋_GB2312"/>
                <w:sz w:val="21"/>
                <w:b/>
              </w:rPr>
              <w:t>、微信公众号改造</w:t>
            </w:r>
          </w:p>
          <w:p>
            <w:pPr>
              <w:pStyle w:val="null5"/>
              <w:ind w:firstLine="420"/>
              <w:jc w:val="left"/>
            </w:pPr>
            <w:r>
              <w:rPr>
                <w:rFonts w:ascii="仿宋_GB2312" w:hAnsi="仿宋_GB2312" w:cs="仿宋_GB2312" w:eastAsia="仿宋_GB2312"/>
                <w:sz w:val="21"/>
              </w:rPr>
              <w:t>借助互联网技术，为医院构建线上线下融合的全流程就医服务平台，基于微信公众号按照医保移动支付要求为患者提供涵盖预约挂号、报告查询、在线支付等全流程就医服务进行改造。</w:t>
            </w:r>
          </w:p>
          <w:p>
            <w:pPr>
              <w:pStyle w:val="null5"/>
              <w:ind w:firstLine="422"/>
              <w:jc w:val="left"/>
            </w:pPr>
            <w:r>
              <w:rPr>
                <w:rFonts w:ascii="仿宋_GB2312" w:hAnsi="仿宋_GB2312" w:cs="仿宋_GB2312" w:eastAsia="仿宋_GB2312"/>
                <w:sz w:val="21"/>
                <w:b/>
              </w:rPr>
              <w:t>1.1</w:t>
            </w:r>
            <w:r>
              <w:rPr>
                <w:rFonts w:ascii="仿宋_GB2312" w:hAnsi="仿宋_GB2312" w:cs="仿宋_GB2312" w:eastAsia="仿宋_GB2312"/>
                <w:sz w:val="21"/>
                <w:b/>
              </w:rPr>
              <w:t>挂号服务</w:t>
            </w:r>
          </w:p>
          <w:p>
            <w:pPr>
              <w:pStyle w:val="null5"/>
              <w:ind w:firstLine="420"/>
              <w:jc w:val="left"/>
            </w:pPr>
            <w:r>
              <w:rPr>
                <w:rFonts w:ascii="仿宋_GB2312" w:hAnsi="仿宋_GB2312" w:cs="仿宋_GB2312" w:eastAsia="仿宋_GB2312"/>
                <w:sz w:val="21"/>
              </w:rPr>
              <w:t>1.1.1</w:t>
            </w:r>
            <w:r>
              <w:rPr>
                <w:rFonts w:ascii="仿宋_GB2312" w:hAnsi="仿宋_GB2312" w:cs="仿宋_GB2312" w:eastAsia="仿宋_GB2312"/>
                <w:sz w:val="21"/>
              </w:rPr>
              <w:t>预约挂号</w:t>
            </w:r>
          </w:p>
          <w:p>
            <w:pPr>
              <w:pStyle w:val="null5"/>
              <w:jc w:val="left"/>
            </w:pPr>
            <w:r>
              <w:rPr>
                <w:rFonts w:ascii="仿宋_GB2312" w:hAnsi="仿宋_GB2312" w:cs="仿宋_GB2312" w:eastAsia="仿宋_GB2312"/>
                <w:sz w:val="21"/>
              </w:rPr>
              <w:t>患者应能通过医院微信公众号，在线进行预约挂号。应支持患者在线选择医院、科室、医生，选择相应的日期和时间段，进行预约挂号。预约成功后，支持通过微信公众号将预约信息直接推送给患者。</w:t>
            </w:r>
          </w:p>
          <w:p>
            <w:pPr>
              <w:pStyle w:val="null5"/>
              <w:ind w:firstLine="420"/>
              <w:jc w:val="left"/>
            </w:pPr>
            <w:r>
              <w:rPr>
                <w:rFonts w:ascii="仿宋_GB2312" w:hAnsi="仿宋_GB2312" w:cs="仿宋_GB2312" w:eastAsia="仿宋_GB2312"/>
                <w:sz w:val="21"/>
              </w:rPr>
              <w:t>详细要求如下：</w:t>
            </w:r>
          </w:p>
          <w:p>
            <w:pPr>
              <w:pStyle w:val="null5"/>
              <w:ind w:firstLine="420"/>
              <w:jc w:val="left"/>
            </w:pPr>
            <w:r>
              <w:rPr>
                <w:rFonts w:ascii="仿宋_GB2312" w:hAnsi="仿宋_GB2312" w:cs="仿宋_GB2312" w:eastAsia="仿宋_GB2312"/>
                <w:sz w:val="21"/>
              </w:rPr>
              <w:t>1</w:t>
            </w:r>
            <w:r>
              <w:rPr>
                <w:rFonts w:ascii="仿宋_GB2312" w:hAnsi="仿宋_GB2312" w:cs="仿宋_GB2312" w:eastAsia="仿宋_GB2312"/>
                <w:sz w:val="21"/>
              </w:rPr>
              <w:t>）需要提供预约挂号常用门诊类型设置，如普通门诊、专家门诊、专病门诊、特需门诊等。</w:t>
            </w:r>
          </w:p>
          <w:p>
            <w:pPr>
              <w:pStyle w:val="null5"/>
              <w:ind w:firstLine="420"/>
              <w:jc w:val="left"/>
            </w:pPr>
            <w:r>
              <w:rPr>
                <w:rFonts w:ascii="仿宋_GB2312" w:hAnsi="仿宋_GB2312" w:cs="仿宋_GB2312" w:eastAsia="仿宋_GB2312"/>
                <w:sz w:val="21"/>
              </w:rPr>
              <w:t>2</w:t>
            </w:r>
            <w:r>
              <w:rPr>
                <w:rFonts w:ascii="仿宋_GB2312" w:hAnsi="仿宋_GB2312" w:cs="仿宋_GB2312" w:eastAsia="仿宋_GB2312"/>
                <w:sz w:val="21"/>
              </w:rPr>
              <w:t>）需要提供分时段的号源进行预约挂号，可根据HIS号源的时段划分进行展示，实现与线下医生号源的同步；也可以通过平台对医生排班和医生号源进行管理。</w:t>
            </w:r>
          </w:p>
          <w:p>
            <w:pPr>
              <w:pStyle w:val="null5"/>
              <w:ind w:firstLine="420"/>
              <w:jc w:val="left"/>
            </w:pPr>
            <w:r>
              <w:rPr>
                <w:rFonts w:ascii="仿宋_GB2312" w:hAnsi="仿宋_GB2312" w:cs="仿宋_GB2312" w:eastAsia="仿宋_GB2312"/>
                <w:sz w:val="21"/>
              </w:rPr>
              <w:t>3</w:t>
            </w:r>
            <w:r>
              <w:rPr>
                <w:rFonts w:ascii="仿宋_GB2312" w:hAnsi="仿宋_GB2312" w:cs="仿宋_GB2312" w:eastAsia="仿宋_GB2312"/>
                <w:sz w:val="21"/>
              </w:rPr>
              <w:t>）能根据医院管理要求，通过平台对医院的预约号源进行限定开放时间，例如限定时间段开放预约（如7:00-22:00允许预约），则患者只能在该时间段进行在线预约。</w:t>
            </w:r>
          </w:p>
          <w:p>
            <w:pPr>
              <w:pStyle w:val="null5"/>
              <w:ind w:firstLine="420"/>
              <w:jc w:val="left"/>
            </w:pPr>
            <w:r>
              <w:rPr>
                <w:rFonts w:ascii="仿宋_GB2312" w:hAnsi="仿宋_GB2312" w:cs="仿宋_GB2312" w:eastAsia="仿宋_GB2312"/>
                <w:sz w:val="21"/>
              </w:rPr>
              <w:t>4</w:t>
            </w:r>
            <w:r>
              <w:rPr>
                <w:rFonts w:ascii="仿宋_GB2312" w:hAnsi="仿宋_GB2312" w:cs="仿宋_GB2312" w:eastAsia="仿宋_GB2312"/>
                <w:sz w:val="21"/>
              </w:rPr>
              <w:t>）需要提供用户为其他就诊人（微信端绑定的家庭成员）进行预约挂号。</w:t>
            </w:r>
          </w:p>
          <w:p>
            <w:pPr>
              <w:pStyle w:val="null5"/>
              <w:ind w:firstLine="420"/>
              <w:jc w:val="left"/>
            </w:pPr>
            <w:r>
              <w:rPr>
                <w:rFonts w:ascii="仿宋_GB2312" w:hAnsi="仿宋_GB2312" w:cs="仿宋_GB2312" w:eastAsia="仿宋_GB2312"/>
                <w:sz w:val="21"/>
              </w:rPr>
              <w:t>5</w:t>
            </w:r>
            <w:r>
              <w:rPr>
                <w:rFonts w:ascii="仿宋_GB2312" w:hAnsi="仿宋_GB2312" w:cs="仿宋_GB2312" w:eastAsia="仿宋_GB2312"/>
                <w:sz w:val="21"/>
              </w:rPr>
              <w:t>）满足用户绑定医保卡或就诊卡进行预约挂号。</w:t>
            </w:r>
          </w:p>
          <w:p>
            <w:pPr>
              <w:pStyle w:val="null5"/>
              <w:ind w:firstLine="420"/>
              <w:jc w:val="left"/>
            </w:pPr>
            <w:r>
              <w:rPr>
                <w:rFonts w:ascii="仿宋_GB2312" w:hAnsi="仿宋_GB2312" w:cs="仿宋_GB2312" w:eastAsia="仿宋_GB2312"/>
                <w:sz w:val="21"/>
              </w:rPr>
              <w:t>6</w:t>
            </w:r>
            <w:r>
              <w:rPr>
                <w:rFonts w:ascii="仿宋_GB2312" w:hAnsi="仿宋_GB2312" w:cs="仿宋_GB2312" w:eastAsia="仿宋_GB2312"/>
                <w:sz w:val="21"/>
              </w:rPr>
              <w:t>）能够提供预约订单取消功能，就诊前一天可以进行在线预约取消。</w:t>
            </w:r>
          </w:p>
          <w:p>
            <w:pPr>
              <w:pStyle w:val="null5"/>
              <w:ind w:firstLine="420"/>
              <w:jc w:val="left"/>
            </w:pPr>
            <w:r>
              <w:rPr>
                <w:rFonts w:ascii="仿宋_GB2312" w:hAnsi="仿宋_GB2312" w:cs="仿宋_GB2312" w:eastAsia="仿宋_GB2312"/>
                <w:sz w:val="21"/>
              </w:rPr>
              <w:t>7</w:t>
            </w:r>
            <w:r>
              <w:rPr>
                <w:rFonts w:ascii="仿宋_GB2312" w:hAnsi="仿宋_GB2312" w:cs="仿宋_GB2312" w:eastAsia="仿宋_GB2312"/>
                <w:sz w:val="21"/>
              </w:rPr>
              <w:t>）需要提供自动推送消息给患者，如预约成功、预约挂号成功、医生停诊等。</w:t>
            </w:r>
          </w:p>
          <w:p>
            <w:pPr>
              <w:pStyle w:val="null5"/>
              <w:ind w:firstLine="420"/>
              <w:jc w:val="left"/>
            </w:pPr>
            <w:r>
              <w:rPr>
                <w:rFonts w:ascii="仿宋_GB2312" w:hAnsi="仿宋_GB2312" w:cs="仿宋_GB2312" w:eastAsia="仿宋_GB2312"/>
                <w:sz w:val="21"/>
              </w:rPr>
              <w:t>8</w:t>
            </w:r>
            <w:r>
              <w:rPr>
                <w:rFonts w:ascii="仿宋_GB2312" w:hAnsi="仿宋_GB2312" w:cs="仿宋_GB2312" w:eastAsia="仿宋_GB2312"/>
                <w:sz w:val="21"/>
              </w:rPr>
              <w:t>）需要满足通过平台能对预约挂号业务进行分析，可以根据时间段（例如自定义时间、本月、最近3个月、最近6个月）进行分析。预约挂号分析指标至少包括预约挂号申请人次、预约就诊人次、预约挂号科室排名、预约挂号医生排名。</w:t>
            </w:r>
          </w:p>
          <w:p>
            <w:pPr>
              <w:pStyle w:val="null5"/>
              <w:ind w:firstLine="420"/>
              <w:jc w:val="left"/>
            </w:pPr>
            <w:r>
              <w:rPr>
                <w:rFonts w:ascii="仿宋_GB2312" w:hAnsi="仿宋_GB2312" w:cs="仿宋_GB2312" w:eastAsia="仿宋_GB2312"/>
                <w:sz w:val="21"/>
              </w:rPr>
              <w:t>1.1.2</w:t>
            </w:r>
            <w:r>
              <w:rPr>
                <w:rFonts w:ascii="仿宋_GB2312" w:hAnsi="仿宋_GB2312" w:cs="仿宋_GB2312" w:eastAsia="仿宋_GB2312"/>
                <w:sz w:val="21"/>
              </w:rPr>
              <w:t>当日挂号</w:t>
            </w:r>
          </w:p>
          <w:p>
            <w:pPr>
              <w:pStyle w:val="null5"/>
              <w:ind w:firstLine="420"/>
              <w:jc w:val="left"/>
            </w:pPr>
            <w:r>
              <w:rPr>
                <w:rFonts w:ascii="仿宋_GB2312" w:hAnsi="仿宋_GB2312" w:cs="仿宋_GB2312" w:eastAsia="仿宋_GB2312"/>
                <w:sz w:val="21"/>
              </w:rPr>
              <w:t>患者应能通过微信公众号挂当天号源；预约成功后，系统自动推送微信消息提醒患者。</w:t>
            </w:r>
          </w:p>
          <w:p>
            <w:pPr>
              <w:pStyle w:val="null5"/>
              <w:jc w:val="left"/>
            </w:pPr>
            <w:r>
              <w:rPr>
                <w:rFonts w:ascii="仿宋_GB2312" w:hAnsi="仿宋_GB2312" w:cs="仿宋_GB2312" w:eastAsia="仿宋_GB2312"/>
                <w:sz w:val="21"/>
              </w:rPr>
              <w:t>应支持用户为其他就诊人进行挂号。</w:t>
            </w:r>
          </w:p>
          <w:p>
            <w:pPr>
              <w:pStyle w:val="null5"/>
              <w:jc w:val="left"/>
            </w:pPr>
            <w:r>
              <w:rPr>
                <w:rFonts w:ascii="仿宋_GB2312" w:hAnsi="仿宋_GB2312" w:cs="仿宋_GB2312" w:eastAsia="仿宋_GB2312"/>
                <w:sz w:val="21"/>
              </w:rPr>
              <w:t>应支持平台对当日挂号进行设置，限定时间段开放挂号（如上午8:00～11:30，下午13:00～16:30允许挂号）。</w:t>
            </w:r>
          </w:p>
          <w:p>
            <w:pPr>
              <w:pStyle w:val="null5"/>
              <w:ind w:firstLine="422"/>
              <w:jc w:val="left"/>
            </w:pPr>
            <w:r>
              <w:rPr>
                <w:rFonts w:ascii="仿宋_GB2312" w:hAnsi="仿宋_GB2312" w:cs="仿宋_GB2312" w:eastAsia="仿宋_GB2312"/>
                <w:sz w:val="21"/>
                <w:b/>
              </w:rPr>
              <w:t>1.2</w:t>
            </w:r>
            <w:r>
              <w:rPr>
                <w:rFonts w:ascii="仿宋_GB2312" w:hAnsi="仿宋_GB2312" w:cs="仿宋_GB2312" w:eastAsia="仿宋_GB2312"/>
                <w:sz w:val="21"/>
                <w:b/>
              </w:rPr>
              <w:t>在线支付</w:t>
            </w:r>
          </w:p>
          <w:p>
            <w:pPr>
              <w:pStyle w:val="null5"/>
              <w:ind w:firstLine="420"/>
              <w:jc w:val="left"/>
            </w:pPr>
            <w:r>
              <w:rPr>
                <w:rFonts w:ascii="仿宋_GB2312" w:hAnsi="仿宋_GB2312" w:cs="仿宋_GB2312" w:eastAsia="仿宋_GB2312"/>
                <w:sz w:val="21"/>
              </w:rPr>
              <w:t>1.2.1</w:t>
            </w:r>
            <w:r>
              <w:rPr>
                <w:rFonts w:ascii="仿宋_GB2312" w:hAnsi="仿宋_GB2312" w:cs="仿宋_GB2312" w:eastAsia="仿宋_GB2312"/>
                <w:sz w:val="21"/>
              </w:rPr>
              <w:t>挂号支付</w:t>
            </w:r>
          </w:p>
          <w:p>
            <w:pPr>
              <w:pStyle w:val="null5"/>
              <w:ind w:firstLine="420"/>
              <w:jc w:val="left"/>
            </w:pPr>
            <w:r>
              <w:rPr>
                <w:rFonts w:ascii="仿宋_GB2312" w:hAnsi="仿宋_GB2312" w:cs="仿宋_GB2312" w:eastAsia="仿宋_GB2312"/>
                <w:sz w:val="21"/>
              </w:rPr>
              <w:t>应支持患者通过微信公众号对预约订单进行支付；支持线上挂号转线下窗口支付。</w:t>
            </w:r>
          </w:p>
          <w:p>
            <w:pPr>
              <w:pStyle w:val="null5"/>
              <w:jc w:val="left"/>
            </w:pPr>
            <w:r>
              <w:rPr>
                <w:rFonts w:ascii="仿宋_GB2312" w:hAnsi="仿宋_GB2312" w:cs="仿宋_GB2312" w:eastAsia="仿宋_GB2312"/>
                <w:sz w:val="21"/>
              </w:rPr>
              <w:t>应支持个性化设置支付时间，能通过平台可配置提前多少天进行预约挂号费用支付。</w:t>
            </w:r>
          </w:p>
          <w:p>
            <w:pPr>
              <w:pStyle w:val="null5"/>
              <w:ind w:firstLine="420"/>
              <w:jc w:val="left"/>
            </w:pPr>
            <w:r>
              <w:rPr>
                <w:rFonts w:ascii="仿宋_GB2312" w:hAnsi="仿宋_GB2312" w:cs="仿宋_GB2312" w:eastAsia="仿宋_GB2312"/>
                <w:sz w:val="21"/>
              </w:rPr>
              <w:t>1.2.2</w:t>
            </w:r>
            <w:r>
              <w:rPr>
                <w:rFonts w:ascii="仿宋_GB2312" w:hAnsi="仿宋_GB2312" w:cs="仿宋_GB2312" w:eastAsia="仿宋_GB2312"/>
                <w:sz w:val="21"/>
              </w:rPr>
              <w:t>门诊缴费</w:t>
            </w:r>
          </w:p>
          <w:p>
            <w:pPr>
              <w:pStyle w:val="null5"/>
              <w:ind w:firstLine="420"/>
              <w:jc w:val="left"/>
            </w:pPr>
            <w:r>
              <w:rPr>
                <w:rFonts w:ascii="仿宋_GB2312" w:hAnsi="仿宋_GB2312" w:cs="仿宋_GB2312" w:eastAsia="仿宋_GB2312"/>
                <w:sz w:val="21"/>
              </w:rPr>
              <w:t>应支持患者在线对医院门诊诊疗费用和处方费用进行支付；支持患者按照时间查询历史缴费记录和待缴费信息；支持按照就诊人进行待缴费费用查询；支持查看门诊处方待支付详情；支持患者选择多个处方进行合并支付。</w:t>
            </w:r>
          </w:p>
          <w:p>
            <w:pPr>
              <w:pStyle w:val="null5"/>
              <w:ind w:firstLine="422"/>
              <w:jc w:val="left"/>
            </w:pPr>
            <w:r>
              <w:rPr>
                <w:rFonts w:ascii="仿宋_GB2312" w:hAnsi="仿宋_GB2312" w:cs="仿宋_GB2312" w:eastAsia="仿宋_GB2312"/>
                <w:sz w:val="21"/>
                <w:b/>
              </w:rPr>
              <w:t>1.3</w:t>
            </w:r>
            <w:r>
              <w:rPr>
                <w:rFonts w:ascii="仿宋_GB2312" w:hAnsi="仿宋_GB2312" w:cs="仿宋_GB2312" w:eastAsia="仿宋_GB2312"/>
                <w:sz w:val="21"/>
                <w:b/>
              </w:rPr>
              <w:t>检验检查报告（不含图像）</w:t>
            </w:r>
          </w:p>
          <w:p>
            <w:pPr>
              <w:pStyle w:val="null5"/>
              <w:ind w:firstLine="420"/>
              <w:jc w:val="left"/>
            </w:pPr>
            <w:r>
              <w:rPr>
                <w:rFonts w:ascii="仿宋_GB2312" w:hAnsi="仿宋_GB2312" w:cs="仿宋_GB2312" w:eastAsia="仿宋_GB2312"/>
                <w:sz w:val="21"/>
              </w:rPr>
              <w:t>应支持患者通过微信公众号查询检验检查报告；支持查询个人或家庭成员的检查检验报告。</w:t>
            </w:r>
          </w:p>
          <w:p>
            <w:pPr>
              <w:pStyle w:val="null5"/>
              <w:jc w:val="left"/>
            </w:pPr>
            <w:r>
              <w:rPr>
                <w:rFonts w:ascii="仿宋_GB2312" w:hAnsi="仿宋_GB2312" w:cs="仿宋_GB2312" w:eastAsia="仿宋_GB2312"/>
                <w:sz w:val="21"/>
              </w:rPr>
              <w:t>应支持按时间段对历史检验和检验报告进行查询；支持对检验项目报告中的异常值进行醒目标注。</w:t>
            </w:r>
          </w:p>
          <w:p>
            <w:pPr>
              <w:pStyle w:val="null5"/>
              <w:ind w:firstLine="420"/>
              <w:jc w:val="left"/>
            </w:pPr>
            <w:r>
              <w:rPr>
                <w:rFonts w:ascii="仿宋_GB2312" w:hAnsi="仿宋_GB2312" w:cs="仿宋_GB2312" w:eastAsia="仿宋_GB2312"/>
                <w:sz w:val="21"/>
              </w:rPr>
              <w:t>应支持患者通过医院微信公众号查询个人报告（PDF格式）。</w:t>
            </w:r>
          </w:p>
          <w:p>
            <w:pPr>
              <w:pStyle w:val="null5"/>
              <w:ind w:firstLine="422"/>
              <w:jc w:val="left"/>
            </w:pPr>
            <w:r>
              <w:rPr>
                <w:rFonts w:ascii="仿宋_GB2312" w:hAnsi="仿宋_GB2312" w:cs="仿宋_GB2312" w:eastAsia="仿宋_GB2312"/>
                <w:sz w:val="21"/>
                <w:b/>
              </w:rPr>
              <w:t>1.4</w:t>
            </w:r>
            <w:r>
              <w:rPr>
                <w:rFonts w:ascii="仿宋_GB2312" w:hAnsi="仿宋_GB2312" w:cs="仿宋_GB2312" w:eastAsia="仿宋_GB2312"/>
                <w:sz w:val="21"/>
                <w:b/>
              </w:rPr>
              <w:t>就诊人管理</w:t>
            </w:r>
          </w:p>
          <w:p>
            <w:pPr>
              <w:pStyle w:val="null5"/>
              <w:ind w:firstLine="420"/>
              <w:jc w:val="left"/>
            </w:pPr>
            <w:r>
              <w:rPr>
                <w:rFonts w:ascii="仿宋_GB2312" w:hAnsi="仿宋_GB2312" w:cs="仿宋_GB2312" w:eastAsia="仿宋_GB2312"/>
                <w:sz w:val="21"/>
              </w:rPr>
              <w:t>1.4.1</w:t>
            </w:r>
            <w:r>
              <w:rPr>
                <w:rFonts w:ascii="仿宋_GB2312" w:hAnsi="仿宋_GB2312" w:cs="仿宋_GB2312" w:eastAsia="仿宋_GB2312"/>
                <w:sz w:val="21"/>
              </w:rPr>
              <w:t>就诊人管理</w:t>
            </w:r>
          </w:p>
          <w:p>
            <w:pPr>
              <w:pStyle w:val="null5"/>
              <w:ind w:firstLine="420"/>
              <w:jc w:val="left"/>
            </w:pPr>
            <w:r>
              <w:rPr>
                <w:rFonts w:ascii="仿宋_GB2312" w:hAnsi="仿宋_GB2312" w:cs="仿宋_GB2312" w:eastAsia="仿宋_GB2312"/>
                <w:sz w:val="21"/>
              </w:rPr>
              <w:t>用户可通过微信公众号进行就诊人的绑定、删除等操作，支持为5位以内的就诊人基本信息进行维护和管理，并对就诊人的基本信息进行维护。</w:t>
            </w:r>
          </w:p>
          <w:p>
            <w:pPr>
              <w:pStyle w:val="null5"/>
              <w:ind w:firstLine="420"/>
              <w:jc w:val="left"/>
            </w:pPr>
            <w:r>
              <w:rPr>
                <w:rFonts w:ascii="仿宋_GB2312" w:hAnsi="仿宋_GB2312" w:cs="仿宋_GB2312" w:eastAsia="仿宋_GB2312"/>
                <w:sz w:val="21"/>
              </w:rPr>
              <w:t>1.4.2</w:t>
            </w:r>
            <w:r>
              <w:rPr>
                <w:rFonts w:ascii="仿宋_GB2312" w:hAnsi="仿宋_GB2312" w:cs="仿宋_GB2312" w:eastAsia="仿宋_GB2312"/>
                <w:sz w:val="21"/>
              </w:rPr>
              <w:t>就诊卡管理</w:t>
            </w:r>
          </w:p>
          <w:p>
            <w:pPr>
              <w:pStyle w:val="null5"/>
              <w:ind w:firstLine="420"/>
              <w:jc w:val="left"/>
            </w:pPr>
            <w:r>
              <w:rPr>
                <w:rFonts w:ascii="仿宋_GB2312" w:hAnsi="仿宋_GB2312" w:cs="仿宋_GB2312" w:eastAsia="仿宋_GB2312"/>
                <w:sz w:val="21"/>
              </w:rPr>
              <w:t>支持用户为自己或其他就诊人添加多张就诊卡，并支持对就诊卡进行排序，可设置默认卡。</w:t>
            </w:r>
          </w:p>
          <w:p>
            <w:pPr>
              <w:pStyle w:val="null5"/>
              <w:jc w:val="left"/>
            </w:pPr>
            <w:r>
              <w:rPr>
                <w:rFonts w:ascii="仿宋_GB2312" w:hAnsi="仿宋_GB2312" w:cs="仿宋_GB2312" w:eastAsia="仿宋_GB2312"/>
                <w:sz w:val="21"/>
              </w:rPr>
              <w:t>可以在微信公众号中生成患者唯一的就诊卡的条形码或二维码。</w:t>
            </w:r>
          </w:p>
          <w:p>
            <w:pPr>
              <w:pStyle w:val="null5"/>
              <w:ind w:firstLine="422"/>
              <w:jc w:val="left"/>
            </w:pPr>
            <w:r>
              <w:rPr>
                <w:rFonts w:ascii="仿宋_GB2312" w:hAnsi="仿宋_GB2312" w:cs="仿宋_GB2312" w:eastAsia="仿宋_GB2312"/>
                <w:sz w:val="21"/>
                <w:b/>
              </w:rPr>
              <w:t>1.5</w:t>
            </w:r>
            <w:r>
              <w:rPr>
                <w:rFonts w:ascii="仿宋_GB2312" w:hAnsi="仿宋_GB2312" w:cs="仿宋_GB2312" w:eastAsia="仿宋_GB2312"/>
                <w:sz w:val="21"/>
                <w:b/>
              </w:rPr>
              <w:t>线上就医评价</w:t>
            </w:r>
          </w:p>
          <w:p>
            <w:pPr>
              <w:pStyle w:val="null5"/>
              <w:ind w:firstLine="420"/>
              <w:jc w:val="left"/>
            </w:pPr>
            <w:r>
              <w:rPr>
                <w:rFonts w:ascii="仿宋_GB2312" w:hAnsi="仿宋_GB2312" w:cs="仿宋_GB2312" w:eastAsia="仿宋_GB2312"/>
                <w:sz w:val="21"/>
              </w:rPr>
              <w:t>支持患者在微信公众号上对医生的各项服务进行满意度服务评价。</w:t>
            </w:r>
          </w:p>
          <w:p>
            <w:pPr>
              <w:pStyle w:val="null5"/>
              <w:ind w:firstLine="420"/>
              <w:jc w:val="left"/>
            </w:pPr>
            <w:r>
              <w:rPr>
                <w:rFonts w:ascii="仿宋_GB2312" w:hAnsi="仿宋_GB2312" w:cs="仿宋_GB2312" w:eastAsia="仿宋_GB2312"/>
                <w:sz w:val="21"/>
              </w:rPr>
              <w:t>支持平台提供敏感词过滤、发布等级管理、评价审核等功能，可以实现自动对评价进行审核和监管。</w:t>
            </w:r>
          </w:p>
          <w:p>
            <w:pPr>
              <w:pStyle w:val="null5"/>
              <w:ind w:firstLine="422"/>
              <w:jc w:val="left"/>
            </w:pPr>
            <w:r>
              <w:rPr>
                <w:rFonts w:ascii="仿宋_GB2312" w:hAnsi="仿宋_GB2312" w:cs="仿宋_GB2312" w:eastAsia="仿宋_GB2312"/>
                <w:sz w:val="21"/>
                <w:b/>
              </w:rPr>
              <w:t>1.6</w:t>
            </w:r>
            <w:r>
              <w:rPr>
                <w:rFonts w:ascii="仿宋_GB2312" w:hAnsi="仿宋_GB2312" w:cs="仿宋_GB2312" w:eastAsia="仿宋_GB2312"/>
                <w:sz w:val="21"/>
                <w:b/>
              </w:rPr>
              <w:t>个人中心</w:t>
            </w:r>
          </w:p>
          <w:p>
            <w:pPr>
              <w:pStyle w:val="null5"/>
              <w:ind w:firstLine="420"/>
              <w:jc w:val="left"/>
            </w:pPr>
            <w:r>
              <w:rPr>
                <w:rFonts w:ascii="仿宋_GB2312" w:hAnsi="仿宋_GB2312" w:cs="仿宋_GB2312" w:eastAsia="仿宋_GB2312"/>
                <w:sz w:val="21"/>
              </w:rPr>
              <w:t>支持患者在微信公众号中查看订单情况，例如预约挂号等；支持查看个人或绑定的其他就诊人的订单情况。</w:t>
            </w:r>
          </w:p>
          <w:p>
            <w:pPr>
              <w:pStyle w:val="null5"/>
              <w:ind w:firstLine="420"/>
              <w:jc w:val="left"/>
            </w:pPr>
            <w:r>
              <w:rPr>
                <w:rFonts w:ascii="仿宋_GB2312" w:hAnsi="仿宋_GB2312" w:cs="仿宋_GB2312" w:eastAsia="仿宋_GB2312"/>
                <w:sz w:val="21"/>
              </w:rPr>
              <w:t>支持选择订单查看服务详情，如预约挂号详情。</w:t>
            </w:r>
          </w:p>
          <w:p>
            <w:pPr>
              <w:pStyle w:val="null5"/>
              <w:ind w:firstLine="422"/>
              <w:jc w:val="left"/>
            </w:pPr>
            <w:r>
              <w:rPr>
                <w:rFonts w:ascii="仿宋_GB2312" w:hAnsi="仿宋_GB2312" w:cs="仿宋_GB2312" w:eastAsia="仿宋_GB2312"/>
                <w:sz w:val="21"/>
                <w:b/>
              </w:rPr>
              <w:t>1.7</w:t>
            </w:r>
            <w:r>
              <w:rPr>
                <w:rFonts w:ascii="仿宋_GB2312" w:hAnsi="仿宋_GB2312" w:cs="仿宋_GB2312" w:eastAsia="仿宋_GB2312"/>
                <w:sz w:val="21"/>
                <w:b/>
              </w:rPr>
              <w:t>健康资讯</w:t>
            </w:r>
          </w:p>
          <w:p>
            <w:pPr>
              <w:pStyle w:val="null5"/>
              <w:ind w:firstLine="420"/>
              <w:jc w:val="left"/>
            </w:pPr>
            <w:r>
              <w:rPr>
                <w:rFonts w:ascii="仿宋_GB2312" w:hAnsi="仿宋_GB2312" w:cs="仿宋_GB2312" w:eastAsia="仿宋_GB2312"/>
                <w:sz w:val="21"/>
              </w:rPr>
              <w:t>支持患者通过微信公众号进行健康资讯的阅读和查询，支持用户对相关的资讯进行分享。</w:t>
            </w:r>
          </w:p>
          <w:p>
            <w:pPr>
              <w:pStyle w:val="null5"/>
              <w:ind w:firstLine="422"/>
              <w:jc w:val="left"/>
            </w:pPr>
            <w:r>
              <w:rPr>
                <w:rFonts w:ascii="仿宋_GB2312" w:hAnsi="仿宋_GB2312" w:cs="仿宋_GB2312" w:eastAsia="仿宋_GB2312"/>
                <w:sz w:val="21"/>
                <w:b/>
              </w:rPr>
              <w:t>1.8</w:t>
            </w:r>
            <w:r>
              <w:rPr>
                <w:rFonts w:ascii="仿宋_GB2312" w:hAnsi="仿宋_GB2312" w:cs="仿宋_GB2312" w:eastAsia="仿宋_GB2312"/>
                <w:sz w:val="21"/>
                <w:b/>
              </w:rPr>
              <w:t>住院预交</w:t>
            </w:r>
          </w:p>
          <w:p>
            <w:pPr>
              <w:pStyle w:val="null5"/>
              <w:ind w:firstLine="420"/>
              <w:jc w:val="left"/>
            </w:pPr>
            <w:r>
              <w:rPr>
                <w:rFonts w:ascii="仿宋_GB2312" w:hAnsi="仿宋_GB2312" w:cs="仿宋_GB2312" w:eastAsia="仿宋_GB2312"/>
                <w:sz w:val="21"/>
              </w:rPr>
              <w:t>1.8.1</w:t>
            </w:r>
            <w:r>
              <w:rPr>
                <w:rFonts w:ascii="仿宋_GB2312" w:hAnsi="仿宋_GB2312" w:cs="仿宋_GB2312" w:eastAsia="仿宋_GB2312"/>
                <w:sz w:val="21"/>
              </w:rPr>
              <w:t>住院预交金（含一日清）</w:t>
            </w:r>
          </w:p>
          <w:p>
            <w:pPr>
              <w:pStyle w:val="null5"/>
              <w:ind w:firstLine="420"/>
              <w:jc w:val="left"/>
            </w:pPr>
            <w:r>
              <w:rPr>
                <w:rFonts w:ascii="仿宋_GB2312" w:hAnsi="仿宋_GB2312" w:cs="仿宋_GB2312" w:eastAsia="仿宋_GB2312"/>
                <w:sz w:val="21"/>
              </w:rPr>
              <w:t>（1）住院预交金</w:t>
            </w:r>
          </w:p>
          <w:p>
            <w:pPr>
              <w:pStyle w:val="null5"/>
              <w:ind w:firstLine="420"/>
              <w:jc w:val="left"/>
            </w:pPr>
            <w:r>
              <w:rPr>
                <w:rFonts w:ascii="仿宋_GB2312" w:hAnsi="仿宋_GB2312" w:cs="仿宋_GB2312" w:eastAsia="仿宋_GB2312"/>
                <w:sz w:val="21"/>
              </w:rPr>
              <w:t>支持患者通过微信公众号在线缴纳住院预缴金；支持查看自己的预交信息，包括已产生费用、已交款金额、预交款金额。</w:t>
            </w:r>
          </w:p>
          <w:p>
            <w:pPr>
              <w:pStyle w:val="null5"/>
              <w:ind w:firstLine="420"/>
              <w:jc w:val="left"/>
            </w:pPr>
            <w:r>
              <w:rPr>
                <w:rFonts w:ascii="仿宋_GB2312" w:hAnsi="仿宋_GB2312" w:cs="仿宋_GB2312" w:eastAsia="仿宋_GB2312"/>
                <w:sz w:val="21"/>
              </w:rPr>
              <w:t>（2）住院清单查询</w:t>
            </w:r>
          </w:p>
          <w:p>
            <w:pPr>
              <w:pStyle w:val="null5"/>
              <w:ind w:firstLine="420"/>
              <w:jc w:val="left"/>
            </w:pPr>
            <w:r>
              <w:rPr>
                <w:rFonts w:ascii="仿宋_GB2312" w:hAnsi="仿宋_GB2312" w:cs="仿宋_GB2312" w:eastAsia="仿宋_GB2312"/>
                <w:sz w:val="21"/>
              </w:rPr>
              <w:t>支持查询住院每日清单和汇总清单，每日清单可以选择日期查看每一天具体的消费记录。</w:t>
            </w:r>
          </w:p>
          <w:p>
            <w:pPr>
              <w:pStyle w:val="null5"/>
              <w:ind w:firstLine="422"/>
              <w:jc w:val="left"/>
            </w:pPr>
            <w:r>
              <w:rPr>
                <w:rFonts w:ascii="仿宋_GB2312" w:hAnsi="仿宋_GB2312" w:cs="仿宋_GB2312" w:eastAsia="仿宋_GB2312"/>
                <w:sz w:val="21"/>
                <w:b/>
              </w:rPr>
              <w:t>1.9</w:t>
            </w:r>
            <w:r>
              <w:rPr>
                <w:rFonts w:ascii="仿宋_GB2312" w:hAnsi="仿宋_GB2312" w:cs="仿宋_GB2312" w:eastAsia="仿宋_GB2312"/>
                <w:sz w:val="21"/>
                <w:b/>
              </w:rPr>
              <w:t>住院在线办理</w:t>
            </w:r>
          </w:p>
          <w:p>
            <w:pPr>
              <w:pStyle w:val="null5"/>
              <w:ind w:firstLine="420"/>
              <w:jc w:val="left"/>
            </w:pPr>
            <w:r>
              <w:rPr>
                <w:rFonts w:ascii="仿宋_GB2312" w:hAnsi="仿宋_GB2312" w:cs="仿宋_GB2312" w:eastAsia="仿宋_GB2312"/>
                <w:sz w:val="21"/>
              </w:rPr>
              <w:t>1</w:t>
            </w:r>
            <w:r>
              <w:rPr>
                <w:rFonts w:ascii="仿宋_GB2312" w:hAnsi="仿宋_GB2312" w:cs="仿宋_GB2312" w:eastAsia="仿宋_GB2312"/>
                <w:sz w:val="21"/>
              </w:rPr>
              <w:t>）入院在线登记</w:t>
            </w:r>
          </w:p>
          <w:p>
            <w:pPr>
              <w:pStyle w:val="null5"/>
              <w:ind w:firstLine="420"/>
              <w:jc w:val="left"/>
            </w:pPr>
            <w:r>
              <w:rPr>
                <w:rFonts w:ascii="仿宋_GB2312" w:hAnsi="仿宋_GB2312" w:cs="仿宋_GB2312" w:eastAsia="仿宋_GB2312"/>
                <w:sz w:val="21"/>
              </w:rPr>
              <w:t>应支持根据机构动态维护入院登记所需的信息字段，在患者完成入院登记后，通过线上更新操作对患者入院信息进行补充登记。</w:t>
            </w:r>
          </w:p>
          <w:p>
            <w:pPr>
              <w:pStyle w:val="null5"/>
              <w:ind w:firstLine="422"/>
              <w:jc w:val="left"/>
            </w:pPr>
            <w:r>
              <w:rPr>
                <w:rFonts w:ascii="仿宋_GB2312" w:hAnsi="仿宋_GB2312" w:cs="仿宋_GB2312" w:eastAsia="仿宋_GB2312"/>
                <w:sz w:val="21"/>
                <w:b/>
              </w:rPr>
              <w:t>1.10</w:t>
            </w:r>
            <w:r>
              <w:rPr>
                <w:rFonts w:ascii="仿宋_GB2312" w:hAnsi="仿宋_GB2312" w:cs="仿宋_GB2312" w:eastAsia="仿宋_GB2312"/>
                <w:sz w:val="21"/>
                <w:b/>
              </w:rPr>
              <w:t>消息推送</w:t>
            </w:r>
          </w:p>
          <w:p>
            <w:pPr>
              <w:pStyle w:val="null5"/>
              <w:ind w:firstLine="420"/>
              <w:jc w:val="left"/>
            </w:pPr>
            <w:r>
              <w:rPr>
                <w:rFonts w:ascii="仿宋_GB2312" w:hAnsi="仿宋_GB2312" w:cs="仿宋_GB2312" w:eastAsia="仿宋_GB2312"/>
                <w:sz w:val="21"/>
              </w:rPr>
              <w:t>1</w:t>
            </w:r>
            <w:r>
              <w:rPr>
                <w:rFonts w:ascii="仿宋_GB2312" w:hAnsi="仿宋_GB2312" w:cs="仿宋_GB2312" w:eastAsia="仿宋_GB2312"/>
                <w:sz w:val="21"/>
              </w:rPr>
              <w:t>）推送通知分级管理</w:t>
            </w:r>
          </w:p>
          <w:p>
            <w:pPr>
              <w:pStyle w:val="null5"/>
              <w:ind w:firstLine="420"/>
              <w:jc w:val="left"/>
            </w:pPr>
            <w:r>
              <w:rPr>
                <w:rFonts w:ascii="仿宋_GB2312" w:hAnsi="仿宋_GB2312" w:cs="仿宋_GB2312" w:eastAsia="仿宋_GB2312"/>
                <w:sz w:val="21"/>
              </w:rPr>
              <w:t>应支持患者在线设置是否接收医院的消息推送信息；</w:t>
            </w:r>
          </w:p>
          <w:p>
            <w:pPr>
              <w:pStyle w:val="null5"/>
              <w:ind w:firstLine="420"/>
              <w:jc w:val="left"/>
            </w:pPr>
            <w:r>
              <w:rPr>
                <w:rFonts w:ascii="仿宋_GB2312" w:hAnsi="仿宋_GB2312" w:cs="仿宋_GB2312" w:eastAsia="仿宋_GB2312"/>
                <w:sz w:val="21"/>
              </w:rPr>
              <w:t>应支持通过消息推送通知分级管理，患者可自行设置屏蔽非关键信息。</w:t>
            </w:r>
          </w:p>
          <w:p>
            <w:pPr>
              <w:pStyle w:val="null5"/>
              <w:ind w:firstLine="420"/>
              <w:jc w:val="left"/>
            </w:pPr>
            <w:r>
              <w:rPr>
                <w:rFonts w:ascii="仿宋_GB2312" w:hAnsi="仿宋_GB2312" w:cs="仿宋_GB2312" w:eastAsia="仿宋_GB2312"/>
                <w:sz w:val="21"/>
              </w:rPr>
              <w:t>2</w:t>
            </w:r>
            <w:r>
              <w:rPr>
                <w:rFonts w:ascii="仿宋_GB2312" w:hAnsi="仿宋_GB2312" w:cs="仿宋_GB2312" w:eastAsia="仿宋_GB2312"/>
                <w:sz w:val="21"/>
              </w:rPr>
              <w:t>）预约、挂号、缴费消息推送</w:t>
            </w:r>
          </w:p>
          <w:p>
            <w:pPr>
              <w:pStyle w:val="null5"/>
              <w:ind w:firstLine="420"/>
              <w:jc w:val="left"/>
            </w:pPr>
            <w:r>
              <w:rPr>
                <w:rFonts w:ascii="仿宋_GB2312" w:hAnsi="仿宋_GB2312" w:cs="仿宋_GB2312" w:eastAsia="仿宋_GB2312"/>
                <w:sz w:val="21"/>
              </w:rPr>
              <w:t>应支持通过微信公众号进行预约、挂号、缴费成功进行消息推送。</w:t>
            </w:r>
          </w:p>
          <w:p>
            <w:pPr>
              <w:pStyle w:val="null5"/>
              <w:ind w:firstLine="420"/>
              <w:jc w:val="left"/>
            </w:pPr>
            <w:r>
              <w:rPr>
                <w:rFonts w:ascii="仿宋_GB2312" w:hAnsi="仿宋_GB2312" w:cs="仿宋_GB2312" w:eastAsia="仿宋_GB2312"/>
                <w:sz w:val="21"/>
              </w:rPr>
              <w:t>3</w:t>
            </w:r>
            <w:r>
              <w:rPr>
                <w:rFonts w:ascii="仿宋_GB2312" w:hAnsi="仿宋_GB2312" w:cs="仿宋_GB2312" w:eastAsia="仿宋_GB2312"/>
                <w:sz w:val="21"/>
              </w:rPr>
              <w:t>）检查注意事项推送</w:t>
            </w:r>
          </w:p>
          <w:p>
            <w:pPr>
              <w:pStyle w:val="null5"/>
              <w:ind w:firstLine="420"/>
              <w:jc w:val="left"/>
            </w:pPr>
            <w:r>
              <w:rPr>
                <w:rFonts w:ascii="仿宋_GB2312" w:hAnsi="仿宋_GB2312" w:cs="仿宋_GB2312" w:eastAsia="仿宋_GB2312"/>
                <w:sz w:val="21"/>
              </w:rPr>
              <w:t>应支持通过微信公众号对患者进行检查注意事项推送。</w:t>
            </w:r>
          </w:p>
          <w:p>
            <w:pPr>
              <w:pStyle w:val="null5"/>
              <w:ind w:firstLine="420"/>
              <w:jc w:val="left"/>
            </w:pPr>
            <w:r>
              <w:rPr>
                <w:rFonts w:ascii="仿宋_GB2312" w:hAnsi="仿宋_GB2312" w:cs="仿宋_GB2312" w:eastAsia="仿宋_GB2312"/>
                <w:sz w:val="21"/>
              </w:rPr>
              <w:t>4</w:t>
            </w:r>
            <w:r>
              <w:rPr>
                <w:rFonts w:ascii="仿宋_GB2312" w:hAnsi="仿宋_GB2312" w:cs="仿宋_GB2312" w:eastAsia="仿宋_GB2312"/>
                <w:sz w:val="21"/>
              </w:rPr>
              <w:t>）报告消息推送</w:t>
            </w:r>
          </w:p>
          <w:p>
            <w:pPr>
              <w:pStyle w:val="null5"/>
              <w:ind w:firstLine="420"/>
              <w:jc w:val="left"/>
            </w:pPr>
            <w:r>
              <w:rPr>
                <w:rFonts w:ascii="仿宋_GB2312" w:hAnsi="仿宋_GB2312" w:cs="仿宋_GB2312" w:eastAsia="仿宋_GB2312"/>
                <w:sz w:val="21"/>
              </w:rPr>
              <w:t>应支持通过微信公众号对患者检查检验报告消息推送。</w:t>
            </w:r>
          </w:p>
          <w:p>
            <w:pPr>
              <w:pStyle w:val="null5"/>
              <w:ind w:firstLine="420"/>
              <w:jc w:val="left"/>
            </w:pPr>
            <w:r>
              <w:rPr>
                <w:rFonts w:ascii="仿宋_GB2312" w:hAnsi="仿宋_GB2312" w:cs="仿宋_GB2312" w:eastAsia="仿宋_GB2312"/>
                <w:sz w:val="21"/>
              </w:rPr>
              <w:t>5</w:t>
            </w:r>
            <w:r>
              <w:rPr>
                <w:rFonts w:ascii="仿宋_GB2312" w:hAnsi="仿宋_GB2312" w:cs="仿宋_GB2312" w:eastAsia="仿宋_GB2312"/>
                <w:sz w:val="21"/>
              </w:rPr>
              <w:t>）取药、用药指导推送</w:t>
            </w:r>
          </w:p>
          <w:p>
            <w:pPr>
              <w:pStyle w:val="null5"/>
              <w:ind w:firstLine="420"/>
              <w:jc w:val="left"/>
            </w:pPr>
            <w:r>
              <w:rPr>
                <w:rFonts w:ascii="仿宋_GB2312" w:hAnsi="仿宋_GB2312" w:cs="仿宋_GB2312" w:eastAsia="仿宋_GB2312"/>
                <w:sz w:val="21"/>
              </w:rPr>
              <w:t>应支持通过微信公众号对患者推送取药消息、用药指导。</w:t>
            </w:r>
          </w:p>
          <w:p>
            <w:pPr>
              <w:pStyle w:val="null5"/>
              <w:ind w:firstLine="422"/>
              <w:jc w:val="left"/>
            </w:pPr>
            <w:r>
              <w:rPr>
                <w:rFonts w:ascii="仿宋_GB2312" w:hAnsi="仿宋_GB2312" w:cs="仿宋_GB2312" w:eastAsia="仿宋_GB2312"/>
                <w:sz w:val="21"/>
                <w:b/>
              </w:rPr>
              <w:t>2</w:t>
            </w:r>
            <w:r>
              <w:rPr>
                <w:rFonts w:ascii="仿宋_GB2312" w:hAnsi="仿宋_GB2312" w:cs="仿宋_GB2312" w:eastAsia="仿宋_GB2312"/>
                <w:sz w:val="21"/>
                <w:b/>
              </w:rPr>
              <w:t>．AI智能导诊系统</w:t>
            </w:r>
          </w:p>
          <w:p>
            <w:pPr>
              <w:pStyle w:val="null5"/>
              <w:ind w:firstLine="422"/>
              <w:jc w:val="left"/>
            </w:pPr>
            <w:r>
              <w:rPr>
                <w:rFonts w:ascii="仿宋_GB2312" w:hAnsi="仿宋_GB2312" w:cs="仿宋_GB2312" w:eastAsia="仿宋_GB2312"/>
                <w:sz w:val="21"/>
                <w:b/>
              </w:rPr>
              <w:t>（1）AI智能体首页</w:t>
            </w:r>
          </w:p>
          <w:p>
            <w:pPr>
              <w:pStyle w:val="null5"/>
              <w:ind w:firstLine="420"/>
              <w:jc w:val="left"/>
            </w:pPr>
            <w:r>
              <w:rPr>
                <w:rFonts w:ascii="仿宋_GB2312" w:hAnsi="仿宋_GB2312" w:cs="仿宋_GB2312" w:eastAsia="仿宋_GB2312"/>
                <w:sz w:val="21"/>
              </w:rPr>
              <w:t>应支持定制智能体首页数字人形象；</w:t>
            </w:r>
          </w:p>
          <w:p>
            <w:pPr>
              <w:pStyle w:val="null5"/>
              <w:ind w:firstLine="420"/>
              <w:jc w:val="left"/>
            </w:pPr>
            <w:r>
              <w:rPr>
                <w:rFonts w:ascii="仿宋_GB2312" w:hAnsi="仿宋_GB2312" w:cs="仿宋_GB2312" w:eastAsia="仿宋_GB2312"/>
                <w:sz w:val="21"/>
              </w:rPr>
              <w:t>应支持定制智能体首页背景效果，页面整体风格，与医院整体视觉风格保持一致；</w:t>
            </w:r>
          </w:p>
          <w:p>
            <w:pPr>
              <w:pStyle w:val="null5"/>
              <w:ind w:firstLine="420"/>
              <w:jc w:val="left"/>
            </w:pPr>
            <w:r>
              <w:rPr>
                <w:rFonts w:ascii="仿宋_GB2312" w:hAnsi="仿宋_GB2312" w:cs="仿宋_GB2312" w:eastAsia="仿宋_GB2312"/>
                <w:sz w:val="21"/>
              </w:rPr>
              <w:t>应支持智能体首页与公众号首页的切换；</w:t>
            </w:r>
          </w:p>
          <w:p>
            <w:pPr>
              <w:pStyle w:val="null5"/>
              <w:ind w:firstLine="420"/>
              <w:jc w:val="left"/>
            </w:pPr>
            <w:r>
              <w:rPr>
                <w:rFonts w:ascii="仿宋_GB2312" w:hAnsi="仿宋_GB2312" w:cs="仿宋_GB2312" w:eastAsia="仿宋_GB2312"/>
                <w:sz w:val="21"/>
              </w:rPr>
              <w:t>应支持选择与智能体交互的就诊人选择与切换；</w:t>
            </w:r>
          </w:p>
          <w:p>
            <w:pPr>
              <w:pStyle w:val="null5"/>
              <w:ind w:firstLine="420"/>
              <w:jc w:val="left"/>
            </w:pPr>
            <w:r>
              <w:rPr>
                <w:rFonts w:ascii="仿宋_GB2312" w:hAnsi="仿宋_GB2312" w:cs="仿宋_GB2312" w:eastAsia="仿宋_GB2312"/>
                <w:sz w:val="21"/>
              </w:rPr>
              <w:t>应支持任务型会话方式。</w:t>
            </w:r>
          </w:p>
          <w:p>
            <w:pPr>
              <w:pStyle w:val="null5"/>
              <w:ind w:firstLine="422"/>
              <w:jc w:val="left"/>
            </w:pPr>
            <w:r>
              <w:rPr>
                <w:rFonts w:ascii="仿宋_GB2312" w:hAnsi="仿宋_GB2312" w:cs="仿宋_GB2312" w:eastAsia="仿宋_GB2312"/>
                <w:sz w:val="21"/>
                <w:b/>
              </w:rPr>
              <w:t>（2）AI智能导诊</w:t>
            </w:r>
          </w:p>
          <w:p>
            <w:pPr>
              <w:pStyle w:val="null5"/>
              <w:ind w:firstLine="420"/>
              <w:jc w:val="left"/>
            </w:pPr>
            <w:r>
              <w:rPr>
                <w:rFonts w:ascii="仿宋_GB2312" w:hAnsi="仿宋_GB2312" w:cs="仿宋_GB2312" w:eastAsia="仿宋_GB2312"/>
                <w:sz w:val="21"/>
              </w:rPr>
              <w:t>1</w:t>
            </w:r>
            <w:r>
              <w:rPr>
                <w:rFonts w:ascii="仿宋_GB2312" w:hAnsi="仿宋_GB2312" w:cs="仿宋_GB2312" w:eastAsia="仿宋_GB2312"/>
                <w:sz w:val="21"/>
              </w:rPr>
              <w:t>）多方式交互</w:t>
            </w:r>
          </w:p>
          <w:p>
            <w:pPr>
              <w:pStyle w:val="null5"/>
              <w:ind w:firstLine="420"/>
              <w:jc w:val="left"/>
            </w:pPr>
            <w:r>
              <w:rPr>
                <w:rFonts w:ascii="仿宋_GB2312" w:hAnsi="仿宋_GB2312" w:cs="仿宋_GB2312" w:eastAsia="仿宋_GB2312"/>
                <w:sz w:val="21"/>
              </w:rPr>
              <w:t>应支持文字、卡片等多种方式的系统交互方式。</w:t>
            </w:r>
          </w:p>
          <w:p>
            <w:pPr>
              <w:pStyle w:val="null5"/>
              <w:ind w:firstLine="420"/>
              <w:jc w:val="left"/>
            </w:pPr>
            <w:r>
              <w:rPr>
                <w:rFonts w:ascii="仿宋_GB2312" w:hAnsi="仿宋_GB2312" w:cs="仿宋_GB2312" w:eastAsia="仿宋_GB2312"/>
                <w:sz w:val="21"/>
              </w:rPr>
              <w:t>2</w:t>
            </w:r>
            <w:r>
              <w:rPr>
                <w:rFonts w:ascii="仿宋_GB2312" w:hAnsi="仿宋_GB2312" w:cs="仿宋_GB2312" w:eastAsia="仿宋_GB2312"/>
                <w:sz w:val="21"/>
              </w:rPr>
              <w:t>）多轮询问</w:t>
            </w:r>
          </w:p>
          <w:p>
            <w:pPr>
              <w:pStyle w:val="null5"/>
              <w:ind w:firstLine="420"/>
              <w:jc w:val="left"/>
            </w:pPr>
            <w:r>
              <w:rPr>
                <w:rFonts w:ascii="仿宋_GB2312" w:hAnsi="仿宋_GB2312" w:cs="仿宋_GB2312" w:eastAsia="仿宋_GB2312"/>
                <w:sz w:val="21"/>
              </w:rPr>
              <w:t>应支持针对患者描述的问题，进一步追问其他伴随状态。</w:t>
            </w:r>
          </w:p>
          <w:p>
            <w:pPr>
              <w:pStyle w:val="null5"/>
              <w:ind w:firstLine="420"/>
              <w:jc w:val="left"/>
            </w:pPr>
            <w:r>
              <w:rPr>
                <w:rFonts w:ascii="仿宋_GB2312" w:hAnsi="仿宋_GB2312" w:cs="仿宋_GB2312" w:eastAsia="仿宋_GB2312"/>
                <w:sz w:val="21"/>
              </w:rPr>
              <w:t>3</w:t>
            </w:r>
            <w:r>
              <w:rPr>
                <w:rFonts w:ascii="仿宋_GB2312" w:hAnsi="仿宋_GB2312" w:cs="仿宋_GB2312" w:eastAsia="仿宋_GB2312"/>
                <w:sz w:val="21"/>
              </w:rPr>
              <w:t>）推荐科室或医生</w:t>
            </w:r>
          </w:p>
          <w:p>
            <w:pPr>
              <w:pStyle w:val="null5"/>
              <w:ind w:firstLine="420"/>
              <w:jc w:val="left"/>
            </w:pPr>
            <w:r>
              <w:rPr>
                <w:rFonts w:ascii="仿宋_GB2312" w:hAnsi="仿宋_GB2312" w:cs="仿宋_GB2312" w:eastAsia="仿宋_GB2312"/>
                <w:sz w:val="21"/>
              </w:rPr>
              <w:t>应支持基于AI大模型，根据患者输入的症状病情，给出分诊建议，推荐对应的科室或医生。</w:t>
            </w:r>
          </w:p>
          <w:p>
            <w:pPr>
              <w:pStyle w:val="null5"/>
              <w:ind w:firstLine="420"/>
              <w:jc w:val="left"/>
            </w:pPr>
            <w:r>
              <w:rPr>
                <w:rFonts w:ascii="仿宋_GB2312" w:hAnsi="仿宋_GB2312" w:cs="仿宋_GB2312" w:eastAsia="仿宋_GB2312"/>
                <w:sz w:val="21"/>
              </w:rPr>
              <w:t>4</w:t>
            </w:r>
            <w:r>
              <w:rPr>
                <w:rFonts w:ascii="仿宋_GB2312" w:hAnsi="仿宋_GB2312" w:cs="仿宋_GB2312" w:eastAsia="仿宋_GB2312"/>
                <w:sz w:val="21"/>
              </w:rPr>
              <w:t>）号源对接</w:t>
            </w:r>
          </w:p>
          <w:p>
            <w:pPr>
              <w:pStyle w:val="null5"/>
              <w:ind w:firstLine="420"/>
              <w:jc w:val="left"/>
            </w:pPr>
            <w:r>
              <w:rPr>
                <w:rFonts w:ascii="仿宋_GB2312" w:hAnsi="仿宋_GB2312" w:cs="仿宋_GB2312" w:eastAsia="仿宋_GB2312"/>
                <w:sz w:val="21"/>
              </w:rPr>
              <w:t>应支持对接院内科室、医生的号源信息，优先推荐有号源的医生。</w:t>
            </w:r>
          </w:p>
          <w:p>
            <w:pPr>
              <w:pStyle w:val="null5"/>
              <w:ind w:firstLine="420"/>
              <w:jc w:val="left"/>
            </w:pPr>
            <w:r>
              <w:rPr>
                <w:rFonts w:ascii="仿宋_GB2312" w:hAnsi="仿宋_GB2312" w:cs="仿宋_GB2312" w:eastAsia="仿宋_GB2312"/>
                <w:sz w:val="21"/>
              </w:rPr>
              <w:t>5</w:t>
            </w:r>
            <w:r>
              <w:rPr>
                <w:rFonts w:ascii="仿宋_GB2312" w:hAnsi="仿宋_GB2312" w:cs="仿宋_GB2312" w:eastAsia="仿宋_GB2312"/>
                <w:sz w:val="21"/>
              </w:rPr>
              <w:t>）一键预约</w:t>
            </w:r>
          </w:p>
          <w:p>
            <w:pPr>
              <w:pStyle w:val="null5"/>
              <w:ind w:firstLine="420"/>
              <w:jc w:val="left"/>
            </w:pPr>
            <w:r>
              <w:rPr>
                <w:rFonts w:ascii="仿宋_GB2312" w:hAnsi="仿宋_GB2312" w:cs="仿宋_GB2312" w:eastAsia="仿宋_GB2312"/>
                <w:sz w:val="21"/>
              </w:rPr>
              <w:t>应支持通过对话方式完成预约挂号的科室/医生、预约时间等关键信息的确认后，可一键提交预约挂号申请单。</w:t>
            </w:r>
          </w:p>
          <w:p>
            <w:pPr>
              <w:pStyle w:val="null5"/>
              <w:ind w:firstLine="420"/>
              <w:jc w:val="left"/>
            </w:pPr>
            <w:r>
              <w:rPr>
                <w:rFonts w:ascii="仿宋_GB2312" w:hAnsi="仿宋_GB2312" w:cs="仿宋_GB2312" w:eastAsia="仿宋_GB2312"/>
                <w:sz w:val="21"/>
              </w:rPr>
              <w:t>6)</w:t>
            </w:r>
            <w:r>
              <w:rPr>
                <w:rFonts w:ascii="仿宋_GB2312" w:hAnsi="仿宋_GB2312" w:cs="仿宋_GB2312" w:eastAsia="仿宋_GB2312"/>
                <w:sz w:val="21"/>
              </w:rPr>
              <w:t>所投产品需包含一年接入AI模型包含流量费在内的所有费用，及后续每年使用该产品的包含AI模型包含流量费在内的所有费用；</w:t>
            </w:r>
          </w:p>
          <w:p>
            <w:pPr>
              <w:pStyle w:val="null5"/>
              <w:ind w:firstLine="422"/>
              <w:jc w:val="left"/>
            </w:pPr>
            <w:r>
              <w:rPr>
                <w:rFonts w:ascii="仿宋_GB2312" w:hAnsi="仿宋_GB2312" w:cs="仿宋_GB2312" w:eastAsia="仿宋_GB2312"/>
                <w:sz w:val="21"/>
                <w:b/>
              </w:rPr>
              <w:t>3</w:t>
            </w:r>
            <w:r>
              <w:rPr>
                <w:rFonts w:ascii="仿宋_GB2312" w:hAnsi="仿宋_GB2312" w:cs="仿宋_GB2312" w:eastAsia="仿宋_GB2312"/>
                <w:sz w:val="21"/>
                <w:b/>
              </w:rPr>
              <w:t>、HIS接口</w:t>
            </w:r>
          </w:p>
          <w:p>
            <w:pPr>
              <w:pStyle w:val="null5"/>
              <w:ind w:firstLine="420"/>
              <w:jc w:val="left"/>
            </w:pPr>
            <w:r>
              <w:rPr>
                <w:rFonts w:ascii="仿宋_GB2312" w:hAnsi="仿宋_GB2312" w:cs="仿宋_GB2312" w:eastAsia="仿宋_GB2312"/>
                <w:sz w:val="21"/>
              </w:rPr>
              <w:t>所投产品应需与医院HIS接口对接，实现所有功能所需业务数据信息的互联互通，本项目报价需包含院内his系统在内所有接口改造费用。</w:t>
            </w:r>
          </w:p>
          <w:p>
            <w:pPr>
              <w:pStyle w:val="null5"/>
              <w:ind w:firstLine="422"/>
              <w:jc w:val="left"/>
            </w:pPr>
            <w:r>
              <w:rPr>
                <w:rFonts w:ascii="仿宋_GB2312" w:hAnsi="仿宋_GB2312" w:cs="仿宋_GB2312" w:eastAsia="仿宋_GB2312"/>
                <w:sz w:val="21"/>
                <w:b/>
              </w:rPr>
              <w:t>3.1</w:t>
            </w:r>
            <w:r>
              <w:rPr>
                <w:rFonts w:ascii="仿宋_GB2312" w:hAnsi="仿宋_GB2312" w:cs="仿宋_GB2312" w:eastAsia="仿宋_GB2312"/>
                <w:sz w:val="21"/>
                <w:b/>
              </w:rPr>
              <w:t>查询类</w:t>
            </w:r>
          </w:p>
          <w:p>
            <w:pPr>
              <w:pStyle w:val="null5"/>
              <w:ind w:firstLine="420"/>
              <w:jc w:val="left"/>
            </w:pPr>
            <w:r>
              <w:rPr>
                <w:rFonts w:ascii="仿宋_GB2312" w:hAnsi="仿宋_GB2312" w:cs="仿宋_GB2312" w:eastAsia="仿宋_GB2312"/>
                <w:sz w:val="21"/>
              </w:rPr>
              <w:t>可多次重复访问的接口功能，不会造成HIS与医保处数据不一致的服务。如：个人信息获取，智能医保审核，票据打印，数据下载等。</w:t>
            </w:r>
          </w:p>
          <w:p>
            <w:pPr>
              <w:pStyle w:val="null5"/>
              <w:ind w:firstLine="422"/>
              <w:jc w:val="left"/>
            </w:pPr>
            <w:r>
              <w:rPr>
                <w:rFonts w:ascii="仿宋_GB2312" w:hAnsi="仿宋_GB2312" w:cs="仿宋_GB2312" w:eastAsia="仿宋_GB2312"/>
                <w:sz w:val="21"/>
                <w:b/>
              </w:rPr>
              <w:t>3.2</w:t>
            </w:r>
            <w:r>
              <w:rPr>
                <w:rFonts w:ascii="仿宋_GB2312" w:hAnsi="仿宋_GB2312" w:cs="仿宋_GB2312" w:eastAsia="仿宋_GB2312"/>
                <w:sz w:val="21"/>
                <w:b/>
              </w:rPr>
              <w:t>交易类</w:t>
            </w:r>
          </w:p>
          <w:p>
            <w:pPr>
              <w:pStyle w:val="null5"/>
              <w:ind w:firstLine="420"/>
              <w:jc w:val="left"/>
            </w:pPr>
            <w:r>
              <w:rPr>
                <w:rFonts w:ascii="仿宋_GB2312" w:hAnsi="仿宋_GB2312" w:cs="仿宋_GB2312" w:eastAsia="仿宋_GB2312"/>
                <w:sz w:val="21"/>
              </w:rPr>
              <w:t>必须要保证HIS和医保数据一致性的服务（不能重复调用的服务）。如住院登记服务 ，同一次住院登记，多次调用中心服务可能会造成HIS与医保中心数据的不一致。如：个人账户消费，门诊统筹结算，住院登记，出院登记，住院结算等。</w:t>
            </w:r>
          </w:p>
          <w:p>
            <w:pPr>
              <w:pStyle w:val="null5"/>
              <w:ind w:firstLine="422"/>
              <w:jc w:val="left"/>
            </w:pPr>
            <w:r>
              <w:rPr>
                <w:rFonts w:ascii="仿宋_GB2312" w:hAnsi="仿宋_GB2312" w:cs="仿宋_GB2312" w:eastAsia="仿宋_GB2312"/>
                <w:sz w:val="21"/>
                <w:b/>
              </w:rPr>
              <w:t>3.3 HIS</w:t>
            </w:r>
            <w:r>
              <w:rPr>
                <w:rFonts w:ascii="仿宋_GB2312" w:hAnsi="仿宋_GB2312" w:cs="仿宋_GB2312" w:eastAsia="仿宋_GB2312"/>
                <w:sz w:val="21"/>
                <w:b/>
              </w:rPr>
              <w:t>系统接口</w:t>
            </w:r>
          </w:p>
          <w:p>
            <w:pPr>
              <w:pStyle w:val="null5"/>
              <w:ind w:firstLine="420"/>
              <w:jc w:val="left"/>
            </w:pPr>
            <w:r>
              <w:rPr>
                <w:rFonts w:ascii="仿宋_GB2312" w:hAnsi="仿宋_GB2312" w:cs="仿宋_GB2312" w:eastAsia="仿宋_GB2312"/>
                <w:sz w:val="21"/>
              </w:rPr>
              <w:t>按照医院提供的门诊医保移动支付提供的接口文档，对院内HIS进行升级改造，实现门诊医保移动支付结算和系统对接接口；</w:t>
            </w:r>
          </w:p>
          <w:p>
            <w:pPr>
              <w:pStyle w:val="null5"/>
              <w:ind w:firstLine="422"/>
              <w:jc w:val="left"/>
            </w:pPr>
            <w:r>
              <w:rPr>
                <w:rFonts w:ascii="仿宋_GB2312" w:hAnsi="仿宋_GB2312" w:cs="仿宋_GB2312" w:eastAsia="仿宋_GB2312"/>
                <w:sz w:val="21"/>
                <w:b/>
              </w:rPr>
              <w:t>注：上述技术说明及要求中所提出的技术规格、要求、参数和标准仅系说明并非进行限制，报价供应商可提出替代的技术规格、要求、参数和标准，并在技术文件中详细说明，但该替代应不低于竞争性磋商文件的规定和要求。</w:t>
            </w:r>
          </w:p>
          <w:p>
            <w:pPr>
              <w:pStyle w:val="null5"/>
              <w:jc w:val="left"/>
            </w:pPr>
            <w:r>
              <w:rPr>
                <w:rFonts w:ascii="仿宋_GB2312" w:hAnsi="仿宋_GB2312" w:cs="仿宋_GB2312" w:eastAsia="仿宋_GB2312"/>
                <w:sz w:val="21"/>
                <w:b/>
              </w:rPr>
              <w:t>三、维保服务：</w:t>
            </w:r>
          </w:p>
          <w:p>
            <w:pPr>
              <w:pStyle w:val="null5"/>
              <w:ind w:firstLine="420"/>
              <w:jc w:val="left"/>
            </w:pPr>
            <w:r>
              <w:rPr>
                <w:rFonts w:ascii="仿宋_GB2312" w:hAnsi="仿宋_GB2312" w:cs="仿宋_GB2312" w:eastAsia="仿宋_GB2312"/>
                <w:sz w:val="21"/>
              </w:rPr>
              <w:t>本项目对所投产品质保期内进行维保服务，保障医院系统的日常安全维护，维护确保系统平稳运行。</w:t>
            </w:r>
          </w:p>
          <w:p>
            <w:pPr>
              <w:pStyle w:val="null5"/>
              <w:ind w:firstLine="422"/>
              <w:jc w:val="left"/>
            </w:pPr>
            <w:r>
              <w:rPr>
                <w:rFonts w:ascii="仿宋_GB2312" w:hAnsi="仿宋_GB2312" w:cs="仿宋_GB2312" w:eastAsia="仿宋_GB2312"/>
                <w:sz w:val="21"/>
                <w:b/>
              </w:rPr>
              <w:t>1</w:t>
            </w:r>
            <w:r>
              <w:rPr>
                <w:rFonts w:ascii="仿宋_GB2312" w:hAnsi="仿宋_GB2312" w:cs="仿宋_GB2312" w:eastAsia="仿宋_GB2312"/>
                <w:sz w:val="21"/>
                <w:b/>
              </w:rPr>
              <w:t>、服务方式和服务内容</w:t>
            </w:r>
          </w:p>
          <w:p>
            <w:pPr>
              <w:pStyle w:val="null5"/>
              <w:ind w:firstLine="420"/>
              <w:jc w:val="left"/>
            </w:pPr>
            <w:r>
              <w:rPr>
                <w:rFonts w:ascii="仿宋_GB2312" w:hAnsi="仿宋_GB2312" w:cs="仿宋_GB2312" w:eastAsia="仿宋_GB2312"/>
                <w:sz w:val="21"/>
              </w:rPr>
              <w:t>1.1</w:t>
            </w:r>
            <w:r>
              <w:rPr>
                <w:rFonts w:ascii="仿宋_GB2312" w:hAnsi="仿宋_GB2312" w:cs="仿宋_GB2312" w:eastAsia="仿宋_GB2312"/>
                <w:sz w:val="21"/>
              </w:rPr>
              <w:t>根据医院的要求，定期对系统进行安全检查，做到问题早发现、早预防、早解决，保障现有的系统正常运行。</w:t>
            </w:r>
          </w:p>
          <w:p>
            <w:pPr>
              <w:pStyle w:val="null5"/>
              <w:ind w:firstLine="420"/>
              <w:jc w:val="left"/>
            </w:pPr>
            <w:r>
              <w:rPr>
                <w:rFonts w:ascii="仿宋_GB2312" w:hAnsi="仿宋_GB2312" w:cs="仿宋_GB2312" w:eastAsia="仿宋_GB2312"/>
                <w:sz w:val="21"/>
              </w:rPr>
              <w:t>1.2</w:t>
            </w:r>
            <w:r>
              <w:rPr>
                <w:rFonts w:ascii="仿宋_GB2312" w:hAnsi="仿宋_GB2312" w:cs="仿宋_GB2312" w:eastAsia="仿宋_GB2312"/>
                <w:sz w:val="21"/>
              </w:rPr>
              <w:t>定期对数据库进行安全管理和监测，监控日志信息。</w:t>
            </w:r>
          </w:p>
          <w:p>
            <w:pPr>
              <w:pStyle w:val="null5"/>
              <w:ind w:firstLine="420"/>
              <w:jc w:val="left"/>
            </w:pPr>
            <w:r>
              <w:rPr>
                <w:rFonts w:ascii="仿宋_GB2312" w:hAnsi="仿宋_GB2312" w:cs="仿宋_GB2312" w:eastAsia="仿宋_GB2312"/>
                <w:sz w:val="21"/>
              </w:rPr>
              <w:t>1.3</w:t>
            </w:r>
            <w:r>
              <w:rPr>
                <w:rFonts w:ascii="仿宋_GB2312" w:hAnsi="仿宋_GB2312" w:cs="仿宋_GB2312" w:eastAsia="仿宋_GB2312"/>
                <w:sz w:val="21"/>
              </w:rPr>
              <w:t>定期巡检各系统，确保系统正常运转。</w:t>
            </w:r>
          </w:p>
          <w:p>
            <w:pPr>
              <w:pStyle w:val="null5"/>
              <w:ind w:firstLine="420"/>
              <w:jc w:val="left"/>
            </w:pPr>
            <w:r>
              <w:rPr>
                <w:rFonts w:ascii="仿宋_GB2312" w:hAnsi="仿宋_GB2312" w:cs="仿宋_GB2312" w:eastAsia="仿宋_GB2312"/>
                <w:sz w:val="21"/>
              </w:rPr>
              <w:t>1.4</w:t>
            </w:r>
            <w:r>
              <w:rPr>
                <w:rFonts w:ascii="仿宋_GB2312" w:hAnsi="仿宋_GB2312" w:cs="仿宋_GB2312" w:eastAsia="仿宋_GB2312"/>
                <w:sz w:val="21"/>
              </w:rPr>
              <w:t>承担系统管理员的工作。</w:t>
            </w:r>
          </w:p>
          <w:p>
            <w:pPr>
              <w:pStyle w:val="null5"/>
              <w:ind w:firstLine="420"/>
              <w:jc w:val="left"/>
            </w:pPr>
            <w:r>
              <w:rPr>
                <w:rFonts w:ascii="仿宋_GB2312" w:hAnsi="仿宋_GB2312" w:cs="仿宋_GB2312" w:eastAsia="仿宋_GB2312"/>
                <w:sz w:val="21"/>
              </w:rPr>
              <w:t>1.5</w:t>
            </w:r>
            <w:r>
              <w:rPr>
                <w:rFonts w:ascii="仿宋_GB2312" w:hAnsi="仿宋_GB2312" w:cs="仿宋_GB2312" w:eastAsia="仿宋_GB2312"/>
                <w:sz w:val="21"/>
              </w:rPr>
              <w:t>工作日内有故障发生时，保证30分钟内响应，进行故障排除、数据恢复</w:t>
            </w:r>
          </w:p>
          <w:p>
            <w:pPr>
              <w:pStyle w:val="null5"/>
              <w:ind w:firstLine="420"/>
              <w:jc w:val="left"/>
            </w:pPr>
            <w:r>
              <w:rPr>
                <w:rFonts w:ascii="仿宋_GB2312" w:hAnsi="仿宋_GB2312" w:cs="仿宋_GB2312" w:eastAsia="仿宋_GB2312"/>
                <w:sz w:val="21"/>
              </w:rPr>
              <w:t>1.6</w:t>
            </w:r>
            <w:r>
              <w:rPr>
                <w:rFonts w:ascii="仿宋_GB2312" w:hAnsi="仿宋_GB2312" w:cs="仿宋_GB2312" w:eastAsia="仿宋_GB2312"/>
                <w:sz w:val="21"/>
              </w:rPr>
              <w:t>提供7X24小时系统维保服务。</w:t>
            </w:r>
          </w:p>
          <w:p>
            <w:pPr>
              <w:pStyle w:val="null5"/>
              <w:ind w:firstLine="420"/>
              <w:jc w:val="left"/>
            </w:pPr>
            <w:r>
              <w:rPr>
                <w:rFonts w:ascii="仿宋_GB2312" w:hAnsi="仿宋_GB2312" w:cs="仿宋_GB2312" w:eastAsia="仿宋_GB2312"/>
                <w:sz w:val="21"/>
              </w:rPr>
              <w:t>1.7</w:t>
            </w:r>
            <w:r>
              <w:rPr>
                <w:rFonts w:ascii="仿宋_GB2312" w:hAnsi="仿宋_GB2312" w:cs="仿宋_GB2312" w:eastAsia="仿宋_GB2312"/>
                <w:sz w:val="21"/>
              </w:rPr>
              <w:t>建立远程连接，确保可以24小时远程解决紧急故障。</w:t>
            </w:r>
          </w:p>
          <w:p>
            <w:pPr>
              <w:pStyle w:val="null5"/>
              <w:ind w:firstLine="422"/>
              <w:jc w:val="left"/>
            </w:pPr>
            <w:r>
              <w:rPr>
                <w:rFonts w:ascii="仿宋_GB2312" w:hAnsi="仿宋_GB2312" w:cs="仿宋_GB2312" w:eastAsia="仿宋_GB2312"/>
                <w:sz w:val="21"/>
                <w:b/>
              </w:rPr>
              <w:t>2</w:t>
            </w:r>
            <w:r>
              <w:rPr>
                <w:rFonts w:ascii="仿宋_GB2312" w:hAnsi="仿宋_GB2312" w:cs="仿宋_GB2312" w:eastAsia="仿宋_GB2312"/>
                <w:sz w:val="21"/>
                <w:b/>
              </w:rPr>
              <w:t>、服务人员要求</w:t>
            </w:r>
          </w:p>
          <w:p>
            <w:pPr>
              <w:pStyle w:val="null5"/>
              <w:ind w:firstLine="420"/>
              <w:jc w:val="left"/>
            </w:pPr>
            <w:r>
              <w:rPr>
                <w:rFonts w:ascii="仿宋_GB2312" w:hAnsi="仿宋_GB2312" w:cs="仿宋_GB2312" w:eastAsia="仿宋_GB2312"/>
                <w:sz w:val="21"/>
              </w:rPr>
              <w:t>2.1</w:t>
            </w:r>
            <w:r>
              <w:rPr>
                <w:rFonts w:ascii="仿宋_GB2312" w:hAnsi="仿宋_GB2312" w:cs="仿宋_GB2312" w:eastAsia="仿宋_GB2312"/>
                <w:sz w:val="21"/>
              </w:rPr>
              <w:t>提供壹名维保工程师负责对接医院维保服务，要求对医院业务熟悉，有叁年系统维护经历。</w:t>
            </w:r>
          </w:p>
          <w:p>
            <w:pPr>
              <w:pStyle w:val="null5"/>
              <w:ind w:firstLine="420"/>
              <w:jc w:val="left"/>
            </w:pPr>
            <w:r>
              <w:rPr>
                <w:rFonts w:ascii="仿宋_GB2312" w:hAnsi="仿宋_GB2312" w:cs="仿宋_GB2312" w:eastAsia="仿宋_GB2312"/>
                <w:sz w:val="21"/>
              </w:rPr>
              <w:t>2.2</w:t>
            </w:r>
            <w:r>
              <w:rPr>
                <w:rFonts w:ascii="仿宋_GB2312" w:hAnsi="仿宋_GB2312" w:cs="仿宋_GB2312" w:eastAsia="仿宋_GB2312"/>
                <w:sz w:val="21"/>
              </w:rPr>
              <w:t>维保工程师需遵守医院各项管理制度，严格实行医院数据保密要求。</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服务要求</w:t>
            </w:r>
          </w:p>
        </w:tc>
        <w:tc>
          <w:tcPr>
            <w:tcW w:type="dxa" w:w="4153"/>
          </w:tcPr>
          <w:p>
            <w:pPr>
              <w:pStyle w:val="null5"/>
              <w:jc w:val="left"/>
            </w:pPr>
            <w:r>
              <w:rPr>
                <w:rFonts w:ascii="仿宋_GB2312" w:hAnsi="仿宋_GB2312" w:cs="仿宋_GB2312" w:eastAsia="仿宋_GB2312"/>
              </w:rPr>
              <w:t>本项目对所投产品质保期内进行维保服务，保障医院系统的日常安全维护，维护确保系统平稳运行。 一、质量保修期：壹年 二、服务方式和服务内容 1.根据医院的要求，定期对系统进行安全检查，做到问题早发现、早预防、早解决，保障现有的系统正常运行。 2.定期对数据库进行安全管理和监测，监控日志信息。 3.定期巡检各系统，确保系统正常运转。 4.承担系统管理员的工作。 5.工作日内有故障发生时，保证30分钟内响应，进行故障排除、数据恢复 6.提供7X24小时系统维保服务。 7.建立远程连接，确保可以24小时远程解决紧急故障，； 三、服务人员要求 1、提供壹名维保工程师负责对接医院维保服务，要求对医院业务熟悉，有叁年系统维护经历。 2、维保工程师需遵守医院各项管理制度，严格实行医院数据保密要求。</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合同签订之日起30工作日内完成全部服务内容并调试完毕。</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乳山市中医院指定地点。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1、验收合格后，达到付款条件起5日，支付合同总金额的50.00%</w:t>
            </w:r>
          </w:p>
          <w:p>
            <w:pPr>
              <w:pStyle w:val="null5"/>
              <w:jc w:val="left"/>
            </w:pPr>
            <w:r>
              <w:rPr>
                <w:rFonts w:ascii="仿宋_GB2312" w:hAnsi="仿宋_GB2312" w:cs="仿宋_GB2312" w:eastAsia="仿宋_GB2312"/>
              </w:rPr>
              <w:t>2、一年后无质量问题，达到付款条件起5日，支付合同总金额的40.00%</w:t>
            </w:r>
          </w:p>
          <w:p>
            <w:pPr>
              <w:pStyle w:val="null5"/>
              <w:jc w:val="left"/>
            </w:pPr>
            <w:r>
              <w:rPr>
                <w:rFonts w:ascii="仿宋_GB2312" w:hAnsi="仿宋_GB2312" w:cs="仿宋_GB2312" w:eastAsia="仿宋_GB2312"/>
              </w:rPr>
              <w:t>3、第二年，达到付款条件起5日，支付合同总金额的10.00%</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上述技术说明及要求中所提出的技术规格、要求、参数和标准仅系说明并非进行限制，报价供应商可提出替代的技术规格、要求、参数和标准，并在技术文件中详细说明，但该替代应不低于竞争性磋商文件的规定和要求。 2、成交单位在实际服务过程中，对采购人、相关单位提供的所有信息承担保密责任，成交单位对其拟派本项目服务人员的泄密行为承担连带法律责任。 3、成交单位需承担上述所列明的服务内容的所有费用（包括税金、利润等），并保障项目的顺利进行。 4、对成果文件的所有权、使用权和著作权归属的约定：归采购人所有。 5、本项目为固定总价合同。 6、为助力打好污染防治攻坚战，推广使用绿色包装，政府采购货物、工程和服务项目中涉及商品包装和快递包装的，供应商提供产品及相关快递服务的具体包装要求要按照财政部办公厅、生态环境部办公厅、国家邮政局办公室《关于印发&lt;商品包装政府采购需求标准（试行）&gt;、&lt;快递包装政府采购需求标准（试行）&gt;的通知》（财办库〔2020〕123号）要求执行。：</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人以上单数，其中评审专家不得少于成员总数的三分之二。采购预算金额达到公开招标数额标准的货物和服务采购项目，或者达到招标规模标准的政府采购工程，磋商小组成员人数应为 5 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有效的营业执照副本扫描件或其他能证明具有独立承担民事责任能力的材料扫描件（银行、保险、石油石化、电力、电信等特殊行业分公司报价须提供总公司的授权）。</w:t>
            </w:r>
          </w:p>
        </w:tc>
        <w:tc>
          <w:tcPr>
            <w:tcW w:type="dxa" w:w="1661"/>
          </w:tcPr>
          <w:p>
            <w:pPr>
              <w:pStyle w:val="null5"/>
              <w:jc w:val="left"/>
            </w:pPr>
            <w:r>
              <w:rPr>
                <w:rFonts w:ascii="仿宋_GB2312" w:hAnsi="仿宋_GB2312" w:cs="仿宋_GB2312" w:eastAsia="仿宋_GB2312"/>
              </w:rPr>
              <w:t>具有独立承担民事责任的能力、报价单位基本情况表</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法人授权委托书、被授权人身份证扫描件</w:t>
            </w:r>
          </w:p>
        </w:tc>
        <w:tc>
          <w:tcPr>
            <w:tcW w:type="dxa" w:w="3322"/>
          </w:tcPr>
          <w:p>
            <w:pPr>
              <w:pStyle w:val="null5"/>
              <w:jc w:val="left"/>
            </w:pPr>
            <w:r>
              <w:rPr>
                <w:rFonts w:ascii="仿宋_GB2312" w:hAnsi="仿宋_GB2312" w:cs="仿宋_GB2312" w:eastAsia="仿宋_GB2312"/>
              </w:rPr>
              <w:t>法定代表人或负责人（以第1条证明材料载明的信息为准）授权委托书、被授权人身份证扫描件； 若报价单位代表为企业法定代表人/单位负责人的，则只需提供企业法定代表人/单位负责人身份证扫描件。</w:t>
            </w:r>
          </w:p>
        </w:tc>
        <w:tc>
          <w:tcPr>
            <w:tcW w:type="dxa" w:w="1661"/>
          </w:tcPr>
          <w:p>
            <w:pPr>
              <w:pStyle w:val="null5"/>
              <w:jc w:val="left"/>
            </w:pPr>
            <w:r>
              <w:rPr>
                <w:rFonts w:ascii="仿宋_GB2312" w:hAnsi="仿宋_GB2312" w:cs="仿宋_GB2312" w:eastAsia="仿宋_GB2312"/>
              </w:rPr>
              <w:t>法定代表人或被授权人资格证明</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报价单位依法交纳税收和社会保障资金的声明</w:t>
            </w:r>
          </w:p>
        </w:tc>
        <w:tc>
          <w:tcPr>
            <w:tcW w:type="dxa" w:w="3322"/>
          </w:tcPr>
          <w:p>
            <w:pPr>
              <w:pStyle w:val="null5"/>
              <w:jc w:val="left"/>
            </w:pPr>
            <w:r>
              <w:rPr>
                <w:rFonts w:ascii="仿宋_GB2312" w:hAnsi="仿宋_GB2312" w:cs="仿宋_GB2312" w:eastAsia="仿宋_GB2312"/>
              </w:rPr>
              <w:t>报价单位依法缴纳税收和社会保障资金的声明（未在山东省内缴纳税收和社会保障资金的供应商必须提供近期缴纳税收和社会保障资金的证明材料；依法免税或不需要缴纳社会保障资金的供应商，应提供相关证明材料）；招标代理机构工作人员在开标后的资格审查环节同时登录“中国山东政府采购网”查询缴纳税收和社会保障资金的情况，查询结果有税收和社保资金缴费信息的，视为“有依法缴纳税收和社会保障资金的良好记录”；对于未查询到相关信息的，由供应商进一步提供相关证明材料，对于不能进一步提供证明材料的，视为“无依法缴纳税收和社会保障资金的良好记录”，将被认定为报价无效。报价单位可提前在“中国山东政府采购网”查询本单位缴纳税收和社会保障资金情况。由于“中国山东政府采购网”只能查询到山东省内供应商的上述信息，未在山东省内缴纳税收和社会保障资金的供应商必须同时后附近期缴纳税收和社会保障资金的证明材料，否则报价无效；依法免税或不需要缴纳社会保障资金的供应商，应提供相关证明材料。</w:t>
            </w:r>
          </w:p>
        </w:tc>
        <w:tc>
          <w:tcPr>
            <w:tcW w:type="dxa" w:w="1661"/>
          </w:tcPr>
          <w:p>
            <w:pPr>
              <w:pStyle w:val="null5"/>
              <w:jc w:val="left"/>
            </w:pPr>
            <w:r>
              <w:rPr>
                <w:rFonts w:ascii="仿宋_GB2312" w:hAnsi="仿宋_GB2312" w:cs="仿宋_GB2312" w:eastAsia="仿宋_GB2312"/>
              </w:rPr>
              <w:t>报价单位依法交纳税收和社会保障资金的声明</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报价单位参加本项目报价前三年内无重大违法违纪行为声明，加盖公章。</w:t>
            </w:r>
          </w:p>
        </w:tc>
        <w:tc>
          <w:tcPr>
            <w:tcW w:type="dxa" w:w="1661"/>
          </w:tcPr>
          <w:p>
            <w:pPr>
              <w:pStyle w:val="null5"/>
              <w:jc w:val="left"/>
            </w:pPr>
            <w:r>
              <w:rPr>
                <w:rFonts w:ascii="仿宋_GB2312" w:hAnsi="仿宋_GB2312" w:cs="仿宋_GB2312" w:eastAsia="仿宋_GB2312"/>
              </w:rPr>
              <w:t>报价单位参加本项目报价前三年内无重大违法违纪行为声明</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报价单位具有履行合同所必需的设备和专业技术能力声明。</w:t>
            </w:r>
          </w:p>
        </w:tc>
        <w:tc>
          <w:tcPr>
            <w:tcW w:type="dxa" w:w="1661"/>
          </w:tcPr>
          <w:p>
            <w:pPr>
              <w:pStyle w:val="null5"/>
              <w:jc w:val="left"/>
            </w:pPr>
            <w:r>
              <w:rPr>
                <w:rFonts w:ascii="仿宋_GB2312" w:hAnsi="仿宋_GB2312" w:cs="仿宋_GB2312" w:eastAsia="仿宋_GB2312"/>
              </w:rPr>
              <w:t>报价单位具有履行合同所必需的设备和专业技术能力声明</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报价单位提供良好商业信誉和健全财务会计制度的声明，加盖公章。</w:t>
            </w:r>
          </w:p>
        </w:tc>
        <w:tc>
          <w:tcPr>
            <w:tcW w:type="dxa" w:w="1661"/>
          </w:tcPr>
          <w:p>
            <w:pPr>
              <w:pStyle w:val="null5"/>
              <w:jc w:val="left"/>
            </w:pPr>
            <w:r>
              <w:rPr>
                <w:rFonts w:ascii="仿宋_GB2312" w:hAnsi="仿宋_GB2312" w:cs="仿宋_GB2312" w:eastAsia="仿宋_GB2312"/>
              </w:rPr>
              <w:t>报价单位具有良好商业信誉和健全财务会计制度的声明</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财务报告</w:t>
            </w:r>
          </w:p>
        </w:tc>
        <w:tc>
          <w:tcPr>
            <w:tcW w:type="dxa" w:w="3322"/>
          </w:tcPr>
          <w:p>
            <w:pPr>
              <w:pStyle w:val="null5"/>
              <w:jc w:val="left"/>
            </w:pPr>
            <w:r>
              <w:rPr>
                <w:rFonts w:ascii="仿宋_GB2312" w:hAnsi="仿宋_GB2312" w:cs="仿宋_GB2312" w:eastAsia="仿宋_GB2312"/>
              </w:rPr>
              <w:t>报价单位自行编制的近期财务报表；或由中介机构出具的财务审计报告扫描件（2024年度或2025年度）；或银行出具的有效期内的资信证明扫描件，提供上述三种证明材料中的任意一种均可。</w:t>
            </w:r>
          </w:p>
        </w:tc>
        <w:tc>
          <w:tcPr>
            <w:tcW w:type="dxa" w:w="1661"/>
          </w:tcPr>
          <w:p>
            <w:pPr>
              <w:pStyle w:val="null5"/>
              <w:jc w:val="left"/>
            </w:pPr>
            <w:r>
              <w:rPr>
                <w:rFonts w:ascii="仿宋_GB2312" w:hAnsi="仿宋_GB2312" w:cs="仿宋_GB2312" w:eastAsia="仿宋_GB2312"/>
              </w:rPr>
              <w:t>财务报告</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无不良信用记录</w:t>
            </w:r>
          </w:p>
        </w:tc>
        <w:tc>
          <w:tcPr>
            <w:tcW w:type="dxa" w:w="3322"/>
          </w:tcPr>
          <w:p>
            <w:pPr>
              <w:pStyle w:val="null5"/>
              <w:jc w:val="left"/>
            </w:pPr>
            <w:r>
              <w:rPr>
                <w:rFonts w:ascii="仿宋_GB2312" w:hAnsi="仿宋_GB2312" w:cs="仿宋_GB2312" w:eastAsia="仿宋_GB2312"/>
              </w:rPr>
              <w:t>信用信息查询（由代理机构查询“信用中国”、报价供应商所在地省级信用官方网站如:“信用山东”、“中国政府采购网”，对查询结果中涉及已列入失信被执行人、重大税收违法失信主体、政府采购严重违法失信行为记录名单及其他不符合《中华人民共和国政府采购法》第二十二条规定条件的投标人，将拒绝其继续参与政府采购活动。</w:t>
            </w:r>
          </w:p>
        </w:tc>
        <w:tc>
          <w:tcPr>
            <w:tcW w:type="dxa" w:w="1661"/>
          </w:tcPr>
          <w:p>
            <w:pPr>
              <w:pStyle w:val="null5"/>
              <w:jc w:val="left"/>
            </w:pPr>
            <w:r>
              <w:rPr>
                <w:rFonts w:ascii="仿宋_GB2312" w:hAnsi="仿宋_GB2312" w:cs="仿宋_GB2312" w:eastAsia="仿宋_GB2312"/>
              </w:rPr>
              <w:t>无不良信用信息记录</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交付（服务）时间、交付（服务）地点、质量保修期</w:t>
            </w:r>
          </w:p>
        </w:tc>
        <w:tc>
          <w:tcPr>
            <w:tcW w:type="dxa" w:w="3322"/>
          </w:tcPr>
          <w:p>
            <w:pPr>
              <w:pStyle w:val="null5"/>
              <w:jc w:val="left"/>
            </w:pPr>
            <w:r>
              <w:rPr>
                <w:rFonts w:ascii="仿宋_GB2312" w:hAnsi="仿宋_GB2312" w:cs="仿宋_GB2312" w:eastAsia="仿宋_GB2312"/>
              </w:rPr>
              <w:t>交付（服务）时间、交付（服务）地点、质量保修期须满足磋商文件要求。</w:t>
            </w:r>
          </w:p>
        </w:tc>
        <w:tc>
          <w:tcPr>
            <w:tcW w:type="dxa" w:w="1661"/>
          </w:tcPr>
          <w:p>
            <w:pPr>
              <w:pStyle w:val="null5"/>
              <w:jc w:val="left"/>
            </w:pPr>
            <w:r>
              <w:rPr>
                <w:rFonts w:ascii="仿宋_GB2312" w:hAnsi="仿宋_GB2312" w:cs="仿宋_GB2312" w:eastAsia="仿宋_GB2312"/>
              </w:rPr>
              <w:t>偏离表、商务条款及其他内容响应</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付款方式</w:t>
            </w:r>
          </w:p>
        </w:tc>
        <w:tc>
          <w:tcPr>
            <w:tcW w:type="dxa" w:w="3322"/>
          </w:tcPr>
          <w:p>
            <w:pPr>
              <w:pStyle w:val="null5"/>
              <w:jc w:val="left"/>
            </w:pPr>
            <w:r>
              <w:rPr>
                <w:rFonts w:ascii="仿宋_GB2312" w:hAnsi="仿宋_GB2312" w:cs="仿宋_GB2312" w:eastAsia="仿宋_GB2312"/>
              </w:rPr>
              <w:t>磋商文件付款方式</w:t>
            </w:r>
          </w:p>
        </w:tc>
        <w:tc>
          <w:tcPr>
            <w:tcW w:type="dxa" w:w="1661"/>
          </w:tcPr>
          <w:p>
            <w:pPr>
              <w:pStyle w:val="null5"/>
              <w:jc w:val="left"/>
            </w:pPr>
            <w:r>
              <w:rPr>
                <w:rFonts w:ascii="仿宋_GB2312" w:hAnsi="仿宋_GB2312" w:cs="仿宋_GB2312" w:eastAsia="仿宋_GB2312"/>
              </w:rPr>
              <w:t>偏离表、商务条款及其他内容响应</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报价单位基本情况表、关联关系声明函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报价有效期（从递交响应文件的截止之日起算）</w:t>
            </w:r>
          </w:p>
        </w:tc>
        <w:tc>
          <w:tcPr>
            <w:tcW w:type="dxa" w:w="3322"/>
          </w:tcPr>
          <w:p>
            <w:pPr>
              <w:pStyle w:val="null5"/>
              <w:jc w:val="left"/>
            </w:pPr>
            <w:r>
              <w:rPr>
                <w:rFonts w:ascii="仿宋_GB2312" w:hAnsi="仿宋_GB2312" w:cs="仿宋_GB2312" w:eastAsia="仿宋_GB2312"/>
              </w:rPr>
              <w:t>报价有效期须满足供应商须知附表</w:t>
            </w:r>
          </w:p>
        </w:tc>
        <w:tc>
          <w:tcPr>
            <w:tcW w:type="dxa" w:w="1661"/>
          </w:tcPr>
          <w:p>
            <w:pPr>
              <w:pStyle w:val="null5"/>
              <w:jc w:val="left"/>
            </w:pPr>
            <w:r>
              <w:rPr>
                <w:rFonts w:ascii="仿宋_GB2312" w:hAnsi="仿宋_GB2312" w:cs="仿宋_GB2312" w:eastAsia="仿宋_GB2312"/>
              </w:rPr>
              <w:t>偏离表、商务条款及其他内容响应</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开标（报价）一览表、投标（响应）报价明细表、报价明细表、报价承诺函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异常低价</w:t>
            </w:r>
          </w:p>
        </w:tc>
        <w:tc>
          <w:tcPr>
            <w:tcW w:type="dxa" w:w="3322"/>
          </w:tcPr>
          <w:p>
            <w:pPr>
              <w:pStyle w:val="null5"/>
              <w:jc w:val="left"/>
            </w:pPr>
            <w:r>
              <w:rPr>
                <w:rFonts w:ascii="仿宋_GB2312" w:hAnsi="仿宋_GB2312" w:cs="仿宋_GB2312" w:eastAsia="仿宋_GB2312"/>
              </w:rPr>
              <w:t>参照《财政部关于推动解决政府采购异常低价问题的通知》执行</w:t>
            </w:r>
          </w:p>
        </w:tc>
        <w:tc>
          <w:tcPr>
            <w:tcW w:type="dxa" w:w="1661"/>
          </w:tcPr>
          <w:p>
            <w:pPr>
              <w:pStyle w:val="null5"/>
              <w:jc w:val="left"/>
            </w:pPr>
            <w:r>
              <w:rPr>
                <w:rFonts w:ascii="仿宋_GB2312" w:hAnsi="仿宋_GB2312" w:cs="仿宋_GB2312" w:eastAsia="仿宋_GB2312"/>
              </w:rPr>
              <w:t>投标（响应）报价明细表、开标（报价）一览表、报价明细表</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磋商小组认为不符合磋商文件其他实质性要求或法律法规规定的其他情形</w:t>
            </w:r>
          </w:p>
        </w:tc>
        <w:tc>
          <w:tcPr>
            <w:tcW w:type="dxa" w:w="3322"/>
          </w:tcPr>
          <w:p>
            <w:pPr>
              <w:pStyle w:val="null5"/>
              <w:jc w:val="left"/>
            </w:pPr>
            <w:r>
              <w:rPr>
                <w:rFonts w:ascii="仿宋_GB2312" w:hAnsi="仿宋_GB2312" w:cs="仿宋_GB2312" w:eastAsia="仿宋_GB2312"/>
              </w:rPr>
              <w:t>磋商小组认为不符合磋商文件其他实质性要求或法律法规规定的其他情形。</w:t>
            </w:r>
          </w:p>
        </w:tc>
        <w:tc>
          <w:tcPr>
            <w:tcW w:type="dxa" w:w="1661"/>
          </w:tcPr>
          <w:p>
            <w:pPr>
              <w:pStyle w:val="null5"/>
              <w:jc w:val="left"/>
            </w:pPr>
            <w:r>
              <w:rPr>
                <w:rFonts w:ascii="仿宋_GB2312" w:hAnsi="仿宋_GB2312" w:cs="仿宋_GB2312" w:eastAsia="仿宋_GB2312"/>
              </w:rPr>
              <w:t>偏离表、商务条款及其他内容响应、封皮、报价承诺函</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六、在评审过程中，出现下列情形之一的，评审委员会应当启动异常低价投标（响应）审查程序：</w:t>
      </w:r>
    </w:p>
    <w:p>
      <w:pPr>
        <w:pStyle w:val="null5"/>
        <w:ind w:firstLine="480"/>
        <w:jc w:val="left"/>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w:t>
      </w:r>
    </w:p>
    <w:p>
      <w:pPr>
        <w:pStyle w:val="null5"/>
        <w:ind w:firstLine="480"/>
        <w:jc w:val="left"/>
      </w:pPr>
      <w:r>
        <w:rPr>
          <w:rFonts w:ascii="仿宋_GB2312" w:hAnsi="仿宋_GB2312" w:cs="仿宋_GB2312" w:eastAsia="仿宋_GB2312"/>
        </w:rPr>
        <w:t>2.投标（响应）报价低于通过符合性审查的次低报价供应商投标（响应）报价50%的，即投标（响应）报价&lt;通过符合性审查的次低报价供应商投标（响应）报价×50%；</w:t>
      </w:r>
    </w:p>
    <w:p>
      <w:pPr>
        <w:pStyle w:val="null5"/>
        <w:ind w:firstLine="480"/>
        <w:jc w:val="left"/>
      </w:pPr>
      <w:r>
        <w:rPr>
          <w:rFonts w:ascii="仿宋_GB2312" w:hAnsi="仿宋_GB2312" w:cs="仿宋_GB2312" w:eastAsia="仿宋_GB2312"/>
        </w:rPr>
        <w:t>3.投标（响应）报价低于采购项目最高限价45%的，即投标（响应）报价&lt;采购项目最高限价×45%；</w:t>
      </w:r>
    </w:p>
    <w:p>
      <w:pPr>
        <w:pStyle w:val="null5"/>
        <w:ind w:firstLine="480"/>
        <w:jc w:val="left"/>
      </w:pPr>
      <w:r>
        <w:rPr>
          <w:rFonts w:ascii="仿宋_GB2312" w:hAnsi="仿宋_GB2312" w:cs="仿宋_GB2312" w:eastAsia="仿宋_GB2312"/>
        </w:rPr>
        <w:t>4.评审委员会基于专业判断，认为供应商报价过低，有可能影响产品质量或者不能诚信履约的其他情形。</w:t>
      </w:r>
    </w:p>
    <w:p>
      <w:pPr>
        <w:pStyle w:val="null5"/>
        <w:ind w:firstLine="480"/>
        <w:jc w:val="left"/>
      </w:pPr>
      <w:r>
        <w:rPr>
          <w:rFonts w:ascii="仿宋_GB2312" w:hAnsi="仿宋_GB2312" w:cs="仿宋_GB2312" w:eastAsia="仿宋_GB2312"/>
        </w:rPr>
        <w:t>采购人可以结合具体项目实际情况，提高上述第1项至第3项中启动异常低价投标(响应)审查的数值标准，但是最高不得超过65%。</w:t>
      </w:r>
    </w:p>
    <w:p>
      <w:pPr>
        <w:pStyle w:val="null5"/>
        <w:ind w:firstLine="480"/>
        <w:jc w:val="left"/>
      </w:pPr>
      <w:r>
        <w:rPr>
          <w:rFonts w:ascii="仿宋_GB2312" w:hAnsi="仿宋_GB2312" w:cs="仿宋_GB2312" w:eastAsia="仿宋_GB2312"/>
        </w:rPr>
        <w:t>相关法律法规对供应商报价有规定的，从其规定。</w:t>
      </w:r>
    </w:p>
    <w:p>
      <w:pPr>
        <w:pStyle w:val="null5"/>
        <w:ind w:firstLine="480"/>
        <w:jc w:val="left"/>
      </w:pPr>
      <w:r>
        <w:rPr>
          <w:rFonts w:ascii="仿宋_GB2312" w:hAnsi="仿宋_GB2312" w:cs="仿宋_GB2312" w:eastAsia="仿宋_GB2312"/>
        </w:rPr>
        <w:t>七、评审委员会启动异常低价投标（响应）审查后，属于5.3.6中第六条中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5"/>
        <w:ind w:firstLine="480"/>
        <w:jc w:val="left"/>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技术部分57.00分</w:t>
            </w:r>
          </w:p>
          <w:p>
            <w:pPr>
              <w:pStyle w:val="null5"/>
            </w:pPr>
            <w:r>
              <w:rPr>
                <w:rFonts w:ascii="仿宋_GB2312" w:hAnsi="仿宋_GB2312" w:cs="仿宋_GB2312" w:eastAsia="仿宋_GB2312"/>
              </w:rPr>
              <w:t>商务部分33.00分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项目理解</w:t>
            </w:r>
          </w:p>
        </w:tc>
        <w:tc>
          <w:tcPr>
            <w:tcW w:type="dxa" w:w="2575"/>
          </w:tcPr>
          <w:p>
            <w:pPr>
              <w:pStyle w:val="null5"/>
            </w:pPr>
            <w:r>
              <w:rPr>
                <w:rFonts w:ascii="仿宋_GB2312" w:hAnsi="仿宋_GB2312" w:cs="仿宋_GB2312" w:eastAsia="仿宋_GB2312"/>
              </w:rPr>
              <w:t>由评委审阅报价单位的响应文件后根据以下标准进行打分： 1.对本项目的理解是否符合目前的实际情况、是否具有前瞻性，5分。 2.根据对本项目的统筹认识，对服务过程中可能出现的问题，提出的解决方案是否科学、合理，是否贴合项目实际，以及解决方案的完善程度，5分。 3.对本项目的工作重点和难点的理解是否准确到位，5分。 注：内容合理、可行、有针对性的计满分，无相应内容的不计分。在满分基础上，评委每发现有一处缺陷或瑕疵的扣1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项目理解</w:t>
            </w:r>
          </w:p>
        </w:tc>
      </w:tr>
      <w:tr>
        <w:tc>
          <w:tcPr>
            <w:tcW w:type="dxa" w:w="831"/>
            <w:vMerge/>
          </w:tcPr>
          <w:p/>
        </w:tc>
        <w:tc>
          <w:tcPr>
            <w:tcW w:type="dxa" w:w="1661"/>
          </w:tcPr>
          <w:p>
            <w:pPr>
              <w:pStyle w:val="null5"/>
            </w:pPr>
            <w:r>
              <w:rPr>
                <w:rFonts w:ascii="仿宋_GB2312" w:hAnsi="仿宋_GB2312" w:cs="仿宋_GB2312" w:eastAsia="仿宋_GB2312"/>
              </w:rPr>
              <w:t>实施方案</w:t>
            </w:r>
          </w:p>
        </w:tc>
        <w:tc>
          <w:tcPr>
            <w:tcW w:type="dxa" w:w="2575"/>
          </w:tcPr>
          <w:p>
            <w:pPr>
              <w:pStyle w:val="null5"/>
            </w:pPr>
            <w:r>
              <w:rPr>
                <w:rFonts w:ascii="仿宋_GB2312" w:hAnsi="仿宋_GB2312" w:cs="仿宋_GB2312" w:eastAsia="仿宋_GB2312"/>
              </w:rPr>
              <w:t>由评委审阅报价单位提报的项目实施方案根据以下标准进行打分： 1.升级改造、运营维保等实施方案内容满足采购文件要求，内容梳理清晰明了，对应措施准确到位，10分； 2.工作流程完善，方案结构清晰、科学合理，能够满足采购人的实际需求，8分； 3.风险防范措施完善，项目实施有保障8分。 注：内容合理、可行、有针对性的计满分，无相应内容的不计分。在满分基础上，评委每发现有一处缺陷或瑕疵的扣1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type="dxa" w:w="831"/>
          </w:tcPr>
          <w:p>
            <w:pPr>
              <w:pStyle w:val="null5"/>
              <w:jc w:val="center"/>
            </w:pPr>
            <w:r>
              <w:rPr>
                <w:rFonts w:ascii="仿宋_GB2312" w:hAnsi="仿宋_GB2312" w:cs="仿宋_GB2312" w:eastAsia="仿宋_GB2312"/>
              </w:rPr>
              <w:t>26.0000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实施方案</w:t>
            </w:r>
          </w:p>
        </w:tc>
      </w:tr>
      <w:tr>
        <w:tc>
          <w:tcPr>
            <w:tcW w:type="dxa" w:w="831"/>
            <w:vMerge/>
          </w:tcPr>
          <w:p/>
        </w:tc>
        <w:tc>
          <w:tcPr>
            <w:tcW w:type="dxa" w:w="1661"/>
          </w:tcPr>
          <w:p>
            <w:pPr>
              <w:pStyle w:val="null5"/>
            </w:pPr>
            <w:r>
              <w:rPr>
                <w:rFonts w:ascii="仿宋_GB2312" w:hAnsi="仿宋_GB2312" w:cs="仿宋_GB2312" w:eastAsia="仿宋_GB2312"/>
              </w:rPr>
              <w:t>进度控制和质量保证措施</w:t>
            </w:r>
          </w:p>
        </w:tc>
        <w:tc>
          <w:tcPr>
            <w:tcW w:type="dxa" w:w="2575"/>
          </w:tcPr>
          <w:p>
            <w:pPr>
              <w:pStyle w:val="null5"/>
            </w:pPr>
            <w:r>
              <w:rPr>
                <w:rFonts w:ascii="仿宋_GB2312" w:hAnsi="仿宋_GB2312" w:cs="仿宋_GB2312" w:eastAsia="仿宋_GB2312"/>
              </w:rPr>
              <w:t>由评委审阅报价单位所提报的进度控制和质量保证措施后根据以下标准进行打分： 1.报价单位所报进度控制和质量保证措施内容完善，针对性强，进度安排得当，8分。 2.能够根据采购人的要求进行日常运营维保服务，8分。 注：内容合理、可行、有针对性的计满分，无相应内容的不计分。在满分基础上，评委每发现有一处缺陷或瑕疵的扣1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进度控制和质量保证措施</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实施团队</w:t>
            </w:r>
          </w:p>
        </w:tc>
        <w:tc>
          <w:tcPr>
            <w:tcW w:type="dxa" w:w="2575"/>
          </w:tcPr>
          <w:p>
            <w:pPr>
              <w:pStyle w:val="null5"/>
            </w:pPr>
            <w:r>
              <w:rPr>
                <w:rFonts w:ascii="仿宋_GB2312" w:hAnsi="仿宋_GB2312" w:cs="仿宋_GB2312" w:eastAsia="仿宋_GB2312"/>
              </w:rPr>
              <w:t>由评委审阅报价单位拟派实施团队人员情况后根据以下标准进行打分： 1.报价单位拟派的项目实施团队人员数量与项目实施相适应，4分。 23.有同类项目经验和业务技术能力，专业背景与岗位设置相适应，能够充分保证项目需要，4分。 3.团队整体实力强，能满足采购人的服务项目内容要求、服从指挥调度，4分。 注：内容合理、可行、有针对性的计满分，无相应内容的不计分。在满分基础上，评委每发现有一处缺陷或瑕疵的扣1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拟派项目人员情况表</w:t>
            </w:r>
          </w:p>
        </w:tc>
      </w:tr>
      <w:tr>
        <w:tc>
          <w:tcPr>
            <w:tcW w:type="dxa" w:w="831"/>
            <w:vMerge/>
          </w:tcPr>
          <w:p/>
        </w:tc>
        <w:tc>
          <w:tcPr>
            <w:tcW w:type="dxa" w:w="1661"/>
          </w:tcPr>
          <w:p>
            <w:pPr>
              <w:pStyle w:val="null5"/>
            </w:pPr>
            <w:r>
              <w:rPr>
                <w:rFonts w:ascii="仿宋_GB2312" w:hAnsi="仿宋_GB2312" w:cs="仿宋_GB2312" w:eastAsia="仿宋_GB2312"/>
              </w:rPr>
              <w:t>同类项目业绩</w:t>
            </w:r>
          </w:p>
        </w:tc>
        <w:tc>
          <w:tcPr>
            <w:tcW w:type="dxa" w:w="2575"/>
          </w:tcPr>
          <w:p>
            <w:pPr>
              <w:pStyle w:val="null5"/>
            </w:pPr>
            <w:r>
              <w:rPr>
                <w:rFonts w:ascii="仿宋_GB2312" w:hAnsi="仿宋_GB2312" w:cs="仿宋_GB2312" w:eastAsia="仿宋_GB2312"/>
              </w:rPr>
              <w:t>2023年1月1日至今（以合同签订时间为准），报价单位实施的同类项目业绩，每个合同计2分，该项最高计6分。 注：响应文件中提供合同扫描件，否则不计分。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同类项目业绩</w:t>
            </w:r>
          </w:p>
        </w:tc>
      </w:tr>
      <w:tr>
        <w:tc>
          <w:tcPr>
            <w:tcW w:type="dxa" w:w="831"/>
            <w:vMerge/>
          </w:tcPr>
          <w:p/>
        </w:tc>
        <w:tc>
          <w:tcPr>
            <w:tcW w:type="dxa" w:w="1661"/>
          </w:tcPr>
          <w:p>
            <w:pPr>
              <w:pStyle w:val="null5"/>
            </w:pPr>
            <w:r>
              <w:rPr>
                <w:rFonts w:ascii="仿宋_GB2312" w:hAnsi="仿宋_GB2312" w:cs="仿宋_GB2312" w:eastAsia="仿宋_GB2312"/>
              </w:rPr>
              <w:t>服务承诺</w:t>
            </w:r>
          </w:p>
        </w:tc>
        <w:tc>
          <w:tcPr>
            <w:tcW w:type="dxa" w:w="2575"/>
          </w:tcPr>
          <w:p>
            <w:pPr>
              <w:pStyle w:val="null5"/>
            </w:pPr>
            <w:r>
              <w:rPr>
                <w:rFonts w:ascii="仿宋_GB2312" w:hAnsi="仿宋_GB2312" w:cs="仿宋_GB2312" w:eastAsia="仿宋_GB2312"/>
              </w:rPr>
              <w:t>由评委审阅报价单位的响应文件后根据以下标准进行打分： 1.服务承诺内容全面、措施完善，3分。 2.服务计划安排周详，措施与手段突出重点、难点，4分。 3.服务及时、便捷、服务系统完善，服务人员满足采购人的需求，4分。 4.具有资料保密、随时汇报、批后服务等方面的保障措施及应急预案，针对性强，4分。 注：内容合理、可行、有针对性的计满分，无相应内容的不计分。在满分基础上，评委每发现有一处缺陷或瑕疵的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服务承诺</w:t>
            </w:r>
          </w:p>
        </w:tc>
      </w:tr>
      <w:tr>
        <w:tc>
          <w:tcPr>
            <w:tcW w:type="dxa" w:w="831"/>
          </w:tcPr>
          <w:p>
            <w:pPr>
              <w:pStyle w:val="null5"/>
            </w:pPr>
            <w:r>
              <w:rPr>
                <w:rFonts w:ascii="仿宋_GB2312" w:hAnsi="仿宋_GB2312" w:cs="仿宋_GB2312" w:eastAsia="仿宋_GB2312"/>
              </w:rPr>
              <w:t>价格分</w:t>
            </w:r>
          </w:p>
        </w:tc>
        <w:tc>
          <w:tcPr>
            <w:tcW w:type="dxa" w:w="1661"/>
          </w:tcPr>
          <w:p>
            <w:pPr>
              <w:pStyle w:val="null5"/>
            </w:pPr>
            <w:r>
              <w:rPr>
                <w:rFonts w:ascii="仿宋_GB2312" w:hAnsi="仿宋_GB2312" w:cs="仿宋_GB2312" w:eastAsia="仿宋_GB2312"/>
              </w:rPr>
              <w:t>报价得分</w:t>
            </w:r>
          </w:p>
        </w:tc>
        <w:tc>
          <w:tcPr>
            <w:tcW w:type="dxa" w:w="2575"/>
          </w:tcPr>
          <w:p>
            <w:pPr>
              <w:pStyle w:val="null5"/>
            </w:pPr>
            <w:r>
              <w:rPr>
                <w:rFonts w:ascii="仿宋_GB2312" w:hAnsi="仿宋_GB2312" w:cs="仿宋_GB2312" w:eastAsia="仿宋_GB2312"/>
              </w:rPr>
              <w:t>满足磋商文件要求且报价最低的为评审基准价，价格得分=（评审基准价/报价）×标准分值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报价明细表</w:t>
            </w:r>
          </w:p>
          <w:p>
            <w:pPr>
              <w:pStyle w:val="null5"/>
            </w:pPr>
            <w:r>
              <w:rPr>
                <w:rFonts w:ascii="仿宋_GB2312" w:hAnsi="仿宋_GB2312" w:cs="仿宋_GB2312" w:eastAsia="仿宋_GB2312"/>
              </w:rPr>
              <w:t>开标（报价）一览表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1、对小、微企业报价给予相应比例的扣除。2、监狱企业视同小型、微型企业，评审中价格扣除按照小、微企业的扣除比例执行。3、残疾人福利性单位承担服务视同小型、微型企业，按小微企业的扣除比例执行。</w:t>
            </w:r>
          </w:p>
        </w:tc>
        <w:tc>
          <w:tcPr>
            <w:tcW w:type="dxa" w:w="1910"/>
          </w:tcPr>
          <w:p>
            <w:pPr>
              <w:pStyle w:val="null5"/>
              <w:jc w:val="left"/>
            </w:pPr>
            <w:r>
              <w:rPr>
                <w:rFonts w:ascii="仿宋_GB2312" w:hAnsi="仿宋_GB2312" w:cs="仿宋_GB2312" w:eastAsia="仿宋_GB2312"/>
              </w:rPr>
              <w:t>投标（响应）报价明细表、开标（报价）一览表、监狱企业、报价单位基本情况表、报价明细表、中小企业声明函、残疾人福利性单位声明函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详见附件：偏离表</w:t>
      </w:r>
    </w:p>
    <w:p>
      <w:pPr>
        <w:pStyle w:val="null5"/>
        <w:ind w:firstLine="960"/>
        <w:jc w:val="left"/>
      </w:pPr>
      <w:r>
        <w:rPr>
          <w:rFonts w:ascii="仿宋_GB2312" w:hAnsi="仿宋_GB2312" w:cs="仿宋_GB2312" w:eastAsia="仿宋_GB2312"/>
        </w:rPr>
        <w:t>详见附件：报价承诺函</w:t>
      </w:r>
    </w:p>
    <w:p>
      <w:pPr>
        <w:pStyle w:val="null5"/>
        <w:ind w:firstLine="960"/>
        <w:jc w:val="left"/>
      </w:pPr>
      <w:r>
        <w:rPr>
          <w:rFonts w:ascii="仿宋_GB2312" w:hAnsi="仿宋_GB2312" w:cs="仿宋_GB2312" w:eastAsia="仿宋_GB2312"/>
        </w:rPr>
        <w:t>详见附件：具有独立承担民事责任的能力</w:t>
      </w:r>
    </w:p>
    <w:p>
      <w:pPr>
        <w:pStyle w:val="null5"/>
        <w:ind w:firstLine="960"/>
        <w:jc w:val="left"/>
      </w:pPr>
      <w:r>
        <w:rPr>
          <w:rFonts w:ascii="仿宋_GB2312" w:hAnsi="仿宋_GB2312" w:cs="仿宋_GB2312" w:eastAsia="仿宋_GB2312"/>
        </w:rPr>
        <w:t>详见附件：法定代表人或被授权人资格证明</w:t>
      </w:r>
    </w:p>
    <w:p>
      <w:pPr>
        <w:pStyle w:val="null5"/>
        <w:ind w:firstLine="960"/>
        <w:jc w:val="left"/>
      </w:pPr>
      <w:r>
        <w:rPr>
          <w:rFonts w:ascii="仿宋_GB2312" w:hAnsi="仿宋_GB2312" w:cs="仿宋_GB2312" w:eastAsia="仿宋_GB2312"/>
        </w:rPr>
        <w:t>详见附件：报价单位依法交纳税收和社会保障资金的声明</w:t>
      </w:r>
    </w:p>
    <w:p>
      <w:pPr>
        <w:pStyle w:val="null5"/>
        <w:ind w:firstLine="960"/>
        <w:jc w:val="left"/>
      </w:pPr>
      <w:r>
        <w:rPr>
          <w:rFonts w:ascii="仿宋_GB2312" w:hAnsi="仿宋_GB2312" w:cs="仿宋_GB2312" w:eastAsia="仿宋_GB2312"/>
        </w:rPr>
        <w:t>详见附件：报价单位参加本项目报价前三年内无重大违法违纪行为声明</w:t>
      </w:r>
    </w:p>
    <w:p>
      <w:pPr>
        <w:pStyle w:val="null5"/>
        <w:ind w:firstLine="960"/>
        <w:jc w:val="left"/>
      </w:pPr>
      <w:r>
        <w:rPr>
          <w:rFonts w:ascii="仿宋_GB2312" w:hAnsi="仿宋_GB2312" w:cs="仿宋_GB2312" w:eastAsia="仿宋_GB2312"/>
        </w:rPr>
        <w:t>详见附件：报价单位具有履行合同所必需的设备和专业技术能力声明</w:t>
      </w:r>
    </w:p>
    <w:p>
      <w:pPr>
        <w:pStyle w:val="null5"/>
        <w:ind w:firstLine="960"/>
        <w:jc w:val="left"/>
      </w:pPr>
      <w:r>
        <w:rPr>
          <w:rFonts w:ascii="仿宋_GB2312" w:hAnsi="仿宋_GB2312" w:cs="仿宋_GB2312" w:eastAsia="仿宋_GB2312"/>
        </w:rPr>
        <w:t>详见附件：报价单位具有良好商业信誉和健全财务会计制度的声明</w:t>
      </w:r>
    </w:p>
    <w:p>
      <w:pPr>
        <w:pStyle w:val="null5"/>
        <w:ind w:firstLine="960"/>
        <w:jc w:val="left"/>
      </w:pPr>
      <w:r>
        <w:rPr>
          <w:rFonts w:ascii="仿宋_GB2312" w:hAnsi="仿宋_GB2312" w:cs="仿宋_GB2312" w:eastAsia="仿宋_GB2312"/>
        </w:rPr>
        <w:t>详见附件：财务报告</w:t>
      </w:r>
    </w:p>
    <w:p>
      <w:pPr>
        <w:pStyle w:val="null5"/>
        <w:ind w:firstLine="960"/>
        <w:jc w:val="left"/>
      </w:pPr>
      <w:r>
        <w:rPr>
          <w:rFonts w:ascii="仿宋_GB2312" w:hAnsi="仿宋_GB2312" w:cs="仿宋_GB2312" w:eastAsia="仿宋_GB2312"/>
        </w:rPr>
        <w:t>详见附件：无不良信用信息记录</w:t>
      </w:r>
    </w:p>
    <w:p>
      <w:pPr>
        <w:pStyle w:val="null5"/>
        <w:ind w:firstLine="960"/>
        <w:jc w:val="left"/>
      </w:pPr>
      <w:r>
        <w:rPr>
          <w:rFonts w:ascii="仿宋_GB2312" w:hAnsi="仿宋_GB2312" w:cs="仿宋_GB2312" w:eastAsia="仿宋_GB2312"/>
        </w:rPr>
        <w:t>详见附件：关联关系声明函</w:t>
      </w:r>
    </w:p>
    <w:p>
      <w:pPr>
        <w:pStyle w:val="null5"/>
        <w:ind w:firstLine="960"/>
        <w:jc w:val="left"/>
      </w:pPr>
      <w:r>
        <w:rPr>
          <w:rFonts w:ascii="仿宋_GB2312" w:hAnsi="仿宋_GB2312" w:cs="仿宋_GB2312" w:eastAsia="仿宋_GB2312"/>
        </w:rPr>
        <w:t>详见附件：报价单位基本情况表</w:t>
      </w:r>
    </w:p>
    <w:p>
      <w:pPr>
        <w:pStyle w:val="null5"/>
        <w:ind w:firstLine="960"/>
        <w:jc w:val="left"/>
      </w:pPr>
      <w:r>
        <w:rPr>
          <w:rFonts w:ascii="仿宋_GB2312" w:hAnsi="仿宋_GB2312" w:cs="仿宋_GB2312" w:eastAsia="仿宋_GB2312"/>
        </w:rPr>
        <w:t>详见附件：封皮</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w:t>
      </w:r>
    </w:p>
    <w:p>
      <w:pPr>
        <w:pStyle w:val="null5"/>
        <w:ind w:firstLine="960"/>
        <w:jc w:val="left"/>
      </w:pPr>
      <w:r>
        <w:rPr>
          <w:rFonts w:ascii="仿宋_GB2312" w:hAnsi="仿宋_GB2312" w:cs="仿宋_GB2312" w:eastAsia="仿宋_GB2312"/>
        </w:rPr>
        <w:t>详见附件：项目理解</w:t>
      </w:r>
    </w:p>
    <w:p>
      <w:pPr>
        <w:pStyle w:val="null5"/>
        <w:ind w:firstLine="960"/>
        <w:jc w:val="left"/>
      </w:pPr>
      <w:r>
        <w:rPr>
          <w:rFonts w:ascii="仿宋_GB2312" w:hAnsi="仿宋_GB2312" w:cs="仿宋_GB2312" w:eastAsia="仿宋_GB2312"/>
        </w:rPr>
        <w:t>详见附件：实施方案</w:t>
      </w:r>
    </w:p>
    <w:p>
      <w:pPr>
        <w:pStyle w:val="null5"/>
        <w:ind w:firstLine="960"/>
        <w:jc w:val="left"/>
      </w:pPr>
      <w:r>
        <w:rPr>
          <w:rFonts w:ascii="仿宋_GB2312" w:hAnsi="仿宋_GB2312" w:cs="仿宋_GB2312" w:eastAsia="仿宋_GB2312"/>
        </w:rPr>
        <w:t>详见附件：进度控制和质量保证措施</w:t>
      </w:r>
    </w:p>
    <w:p>
      <w:pPr>
        <w:pStyle w:val="null5"/>
        <w:ind w:firstLine="960"/>
        <w:jc w:val="left"/>
      </w:pPr>
      <w:r>
        <w:rPr>
          <w:rFonts w:ascii="仿宋_GB2312" w:hAnsi="仿宋_GB2312" w:cs="仿宋_GB2312" w:eastAsia="仿宋_GB2312"/>
        </w:rPr>
        <w:t>详见附件：拟派项目人员情况表</w:t>
      </w:r>
    </w:p>
    <w:p>
      <w:pPr>
        <w:pStyle w:val="null5"/>
        <w:ind w:firstLine="960"/>
        <w:jc w:val="left"/>
      </w:pPr>
      <w:r>
        <w:rPr>
          <w:rFonts w:ascii="仿宋_GB2312" w:hAnsi="仿宋_GB2312" w:cs="仿宋_GB2312" w:eastAsia="仿宋_GB2312"/>
        </w:rPr>
        <w:t>详见附件：同类项目业绩</w:t>
      </w:r>
    </w:p>
    <w:p>
      <w:pPr>
        <w:pStyle w:val="null5"/>
        <w:ind w:firstLine="960"/>
        <w:jc w:val="left"/>
      </w:pPr>
      <w:r>
        <w:rPr>
          <w:rFonts w:ascii="仿宋_GB2312" w:hAnsi="仿宋_GB2312" w:cs="仿宋_GB2312" w:eastAsia="仿宋_GB2312"/>
        </w:rPr>
        <w:t>详见附件：服务承诺</w:t>
      </w:r>
    </w:p>
    <w:p>
      <w:pPr>
        <w:pStyle w:val="null5"/>
        <w:ind w:firstLine="960"/>
        <w:jc w:val="left"/>
      </w:pPr>
      <w:r>
        <w:rPr>
          <w:rFonts w:ascii="仿宋_GB2312" w:hAnsi="仿宋_GB2312" w:cs="仿宋_GB2312" w:eastAsia="仿宋_GB2312"/>
        </w:rPr>
        <w:t>详见附件：商务条款及其他内容响应</w:t>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SDGP371083000202602000028</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乳山市中医院微信公众号升级改造及AI智能导诊采购项目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乳山市中医院微信公众号升级改造及AI智能导诊采购项目</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乳山市中医院微信公众号升级改造及AI智能导诊采购项目</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乳山市中医院微信公众号升级改造及AI智能导诊采购项目</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480000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详见附件：报价明细表</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SDGP371083000202602000028</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乳山市中医院微信公众号升级改造及AI智能导诊采购项目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乳山市中医院微信公众号升级改造及AI智能导诊采购项目</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乳山市中医院微信公众号升级改造及AI智能导诊采购项目</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480000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