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rPr>
      </w:pPr>
    </w:p>
    <w:p>
      <w:pPr>
        <w:bidi w:val="0"/>
        <w:rPr>
          <w:rFonts w:hint="eastAsia"/>
        </w:rPr>
      </w:pPr>
    </w:p>
    <w:p>
      <w:pPr>
        <w:pStyle w:val="3"/>
        <w:bidi w:val="0"/>
        <w:rPr>
          <w:rFonts w:hint="eastAsia"/>
        </w:rPr>
      </w:pPr>
      <w:r>
        <w:rPr>
          <w:rFonts w:hint="eastAsia"/>
          <w:u w:val="single"/>
          <w:lang w:val="en-US" w:eastAsia="zh-CN"/>
        </w:rPr>
        <w:t xml:space="preserve">            </w:t>
      </w:r>
      <w:r>
        <w:rPr>
          <w:rFonts w:hint="eastAsia"/>
        </w:rPr>
        <w:t>交易公告</w:t>
      </w:r>
    </w:p>
    <w:p>
      <w:pPr>
        <w:bidi w:val="0"/>
        <w:rPr>
          <w:rFonts w:hint="eastAsia"/>
        </w:rPr>
      </w:pPr>
    </w:p>
    <w:p>
      <w:pPr>
        <w:bidi w:val="0"/>
        <w:rPr>
          <w:rFonts w:hint="eastAsia"/>
        </w:rPr>
      </w:pPr>
      <w:r>
        <w:rPr>
          <w:rFonts w:hint="eastAsia"/>
          <w:u w:val="single"/>
        </w:rPr>
        <w:t xml:space="preserve">   转让方   </w:t>
      </w:r>
      <w:r>
        <w:rPr>
          <w:rFonts w:hint="eastAsia"/>
        </w:rPr>
        <w:t>，通过威海市产权电子交易系统，以网络竞价方式公开交易该项目，现将有关事项公告如下：</w:t>
      </w:r>
    </w:p>
    <w:p>
      <w:pPr>
        <w:pStyle w:val="4"/>
        <w:bidi w:val="0"/>
        <w:rPr>
          <w:rFonts w:hint="eastAsia"/>
        </w:rPr>
      </w:pPr>
      <w:r>
        <w:rPr>
          <w:rFonts w:hint="eastAsia"/>
        </w:rPr>
        <w:t>一、项目基本信息</w:t>
      </w:r>
    </w:p>
    <w:p>
      <w:pPr>
        <w:bidi w:val="0"/>
        <w:rPr>
          <w:rFonts w:hint="eastAsia"/>
        </w:rPr>
      </w:pPr>
      <w:r>
        <w:rPr>
          <w:rStyle w:val="14"/>
          <w:rFonts w:hint="eastAsia"/>
        </w:rPr>
        <w:t>1</w:t>
      </w:r>
      <w:r>
        <w:rPr>
          <w:rStyle w:val="14"/>
          <w:rFonts w:hint="eastAsia"/>
          <w:lang w:val="en-US" w:eastAsia="zh-CN"/>
        </w:rPr>
        <w:t>.</w:t>
      </w:r>
      <w:r>
        <w:rPr>
          <w:rStyle w:val="14"/>
          <w:rFonts w:hint="eastAsia"/>
        </w:rPr>
        <w:t xml:space="preserve">项目编号: </w:t>
      </w:r>
      <w:r>
        <w:rPr>
          <w:rFonts w:hint="eastAsia"/>
        </w:rPr>
        <w:t>WH**SW-2023-</w:t>
      </w:r>
    </w:p>
    <w:p>
      <w:pPr>
        <w:pStyle w:val="5"/>
        <w:bidi w:val="0"/>
        <w:rPr>
          <w:rFonts w:hint="eastAsia"/>
        </w:rPr>
      </w:pPr>
      <w:r>
        <w:rPr>
          <w:rFonts w:hint="eastAsia"/>
        </w:rPr>
        <w:t>2</w:t>
      </w:r>
      <w:r>
        <w:rPr>
          <w:rFonts w:hint="eastAsia"/>
          <w:lang w:val="en-US" w:eastAsia="zh-CN"/>
        </w:rPr>
        <w:t>.</w:t>
      </w:r>
      <w:r>
        <w:rPr>
          <w:rFonts w:hint="eastAsia"/>
        </w:rPr>
        <w:t>项目名称：</w:t>
      </w:r>
    </w:p>
    <w:p>
      <w:pPr>
        <w:pStyle w:val="5"/>
        <w:bidi w:val="0"/>
        <w:rPr>
          <w:rFonts w:hint="eastAsia"/>
        </w:rPr>
      </w:pPr>
      <w:r>
        <w:rPr>
          <w:rFonts w:hint="eastAsia"/>
        </w:rPr>
        <w:t>3</w:t>
      </w:r>
      <w:r>
        <w:rPr>
          <w:rFonts w:hint="eastAsia"/>
          <w:lang w:val="en-US" w:eastAsia="zh-CN"/>
        </w:rPr>
        <w:t>.</w:t>
      </w:r>
      <w:r>
        <w:rPr>
          <w:rFonts w:hint="eastAsia"/>
        </w:rPr>
        <w:t>本项目分   个标的，详情见标的清单（清单可调整）</w:t>
      </w:r>
    </w:p>
    <w:tbl>
      <w:tblPr>
        <w:tblStyle w:val="1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1295"/>
        <w:gridCol w:w="1026"/>
        <w:gridCol w:w="1064"/>
        <w:gridCol w:w="1277"/>
        <w:gridCol w:w="1200"/>
        <w:gridCol w:w="1354"/>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 w:type="pct"/>
            <w:noWrap w:val="0"/>
            <w:vAlign w:val="center"/>
          </w:tcPr>
          <w:p>
            <w:pPr>
              <w:pStyle w:val="7"/>
              <w:numPr>
                <w:ilvl w:val="4"/>
                <w:numId w:val="0"/>
              </w:numPr>
              <w:spacing w:line="240" w:lineRule="auto"/>
              <w:jc w:val="center"/>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序号</w:t>
            </w:r>
          </w:p>
        </w:tc>
        <w:tc>
          <w:tcPr>
            <w:tcW w:w="706" w:type="pct"/>
            <w:noWrap w:val="0"/>
            <w:vAlign w:val="center"/>
          </w:tcPr>
          <w:p>
            <w:pPr>
              <w:pStyle w:val="7"/>
              <w:numPr>
                <w:ilvl w:val="4"/>
                <w:numId w:val="0"/>
              </w:numPr>
              <w:spacing w:line="240" w:lineRule="auto"/>
              <w:jc w:val="center"/>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标的名称</w:t>
            </w:r>
          </w:p>
        </w:tc>
        <w:tc>
          <w:tcPr>
            <w:tcW w:w="559" w:type="pct"/>
            <w:noWrap w:val="0"/>
            <w:vAlign w:val="center"/>
          </w:tcPr>
          <w:p>
            <w:pPr>
              <w:pStyle w:val="7"/>
              <w:numPr>
                <w:ilvl w:val="4"/>
                <w:numId w:val="0"/>
              </w:numPr>
              <w:spacing w:line="240" w:lineRule="auto"/>
              <w:jc w:val="center"/>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位置</w:t>
            </w:r>
          </w:p>
        </w:tc>
        <w:tc>
          <w:tcPr>
            <w:tcW w:w="580" w:type="pct"/>
            <w:noWrap w:val="0"/>
            <w:vAlign w:val="center"/>
          </w:tcPr>
          <w:p>
            <w:pPr>
              <w:pStyle w:val="7"/>
              <w:numPr>
                <w:ilvl w:val="4"/>
                <w:numId w:val="0"/>
              </w:numPr>
              <w:spacing w:line="240" w:lineRule="auto"/>
              <w:jc w:val="center"/>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面积</w:t>
            </w:r>
          </w:p>
        </w:tc>
        <w:tc>
          <w:tcPr>
            <w:tcW w:w="696" w:type="pct"/>
            <w:noWrap w:val="0"/>
            <w:vAlign w:val="center"/>
          </w:tcPr>
          <w:p>
            <w:pPr>
              <w:pStyle w:val="7"/>
              <w:numPr>
                <w:ilvl w:val="4"/>
                <w:numId w:val="0"/>
              </w:numPr>
              <w:spacing w:line="240" w:lineRule="auto"/>
              <w:jc w:val="center"/>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出租年限</w:t>
            </w:r>
          </w:p>
        </w:tc>
        <w:tc>
          <w:tcPr>
            <w:tcW w:w="654" w:type="pct"/>
            <w:noWrap w:val="0"/>
            <w:vAlign w:val="center"/>
          </w:tcPr>
          <w:p>
            <w:pPr>
              <w:pStyle w:val="7"/>
              <w:numPr>
                <w:ilvl w:val="4"/>
                <w:numId w:val="0"/>
              </w:numPr>
              <w:spacing w:line="240" w:lineRule="auto"/>
              <w:jc w:val="center"/>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起始价 （万元）</w:t>
            </w:r>
          </w:p>
        </w:tc>
        <w:tc>
          <w:tcPr>
            <w:tcW w:w="738" w:type="pct"/>
            <w:noWrap w:val="0"/>
            <w:vAlign w:val="center"/>
          </w:tcPr>
          <w:p>
            <w:pPr>
              <w:pStyle w:val="7"/>
              <w:numPr>
                <w:ilvl w:val="4"/>
                <w:numId w:val="0"/>
              </w:numPr>
              <w:spacing w:line="240" w:lineRule="auto"/>
              <w:jc w:val="center"/>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保证金  （万元）</w:t>
            </w:r>
          </w:p>
        </w:tc>
        <w:tc>
          <w:tcPr>
            <w:tcW w:w="718" w:type="pct"/>
            <w:noWrap w:val="0"/>
            <w:vAlign w:val="center"/>
          </w:tcPr>
          <w:p>
            <w:pPr>
              <w:pStyle w:val="7"/>
              <w:numPr>
                <w:ilvl w:val="4"/>
                <w:numId w:val="0"/>
              </w:numPr>
              <w:spacing w:line="240" w:lineRule="auto"/>
              <w:jc w:val="center"/>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 w:type="pct"/>
            <w:noWrap w:val="0"/>
            <w:vAlign w:val="center"/>
          </w:tcPr>
          <w:p>
            <w:pPr>
              <w:pStyle w:val="7"/>
              <w:numPr>
                <w:ilvl w:val="4"/>
                <w:numId w:val="0"/>
              </w:numPr>
              <w:spacing w:line="240" w:lineRule="auto"/>
              <w:jc w:val="center"/>
              <w:rPr>
                <w:rFonts w:hint="default" w:eastAsia="宋体"/>
                <w:b w:val="0"/>
                <w:bCs w:val="0"/>
                <w:color w:val="000000"/>
                <w:sz w:val="21"/>
                <w:szCs w:val="20"/>
                <w:vertAlign w:val="baseline"/>
                <w:lang w:val="en-US" w:eastAsia="zh-CN"/>
              </w:rPr>
            </w:pPr>
            <w:r>
              <w:rPr>
                <w:rFonts w:hint="eastAsia"/>
                <w:b w:val="0"/>
                <w:bCs w:val="0"/>
                <w:color w:val="000000"/>
                <w:sz w:val="21"/>
                <w:szCs w:val="20"/>
                <w:vertAlign w:val="baseline"/>
                <w:lang w:val="en-US" w:eastAsia="zh-CN"/>
              </w:rPr>
              <w:t>1</w:t>
            </w:r>
          </w:p>
        </w:tc>
        <w:tc>
          <w:tcPr>
            <w:tcW w:w="706" w:type="pct"/>
            <w:noWrap w:val="0"/>
            <w:vAlign w:val="center"/>
          </w:tcPr>
          <w:p>
            <w:pPr>
              <w:pStyle w:val="7"/>
              <w:numPr>
                <w:ilvl w:val="4"/>
                <w:numId w:val="0"/>
              </w:numPr>
              <w:spacing w:line="240" w:lineRule="auto"/>
              <w:jc w:val="center"/>
              <w:rPr>
                <w:rFonts w:hint="default" w:eastAsia="宋体"/>
                <w:color w:val="000000"/>
                <w:vertAlign w:val="baseline"/>
                <w:lang w:val="en-US" w:eastAsia="zh-CN"/>
              </w:rPr>
            </w:pPr>
          </w:p>
        </w:tc>
        <w:tc>
          <w:tcPr>
            <w:tcW w:w="559" w:type="pct"/>
            <w:noWrap w:val="0"/>
            <w:vAlign w:val="center"/>
          </w:tcPr>
          <w:p>
            <w:pPr>
              <w:pStyle w:val="7"/>
              <w:numPr>
                <w:ilvl w:val="4"/>
                <w:numId w:val="0"/>
              </w:numPr>
              <w:spacing w:line="240" w:lineRule="auto"/>
              <w:jc w:val="center"/>
              <w:rPr>
                <w:rFonts w:hint="default" w:eastAsia="宋体"/>
                <w:color w:val="000000"/>
                <w:vertAlign w:val="baseline"/>
                <w:lang w:val="en-US" w:eastAsia="zh-CN"/>
              </w:rPr>
            </w:pPr>
          </w:p>
        </w:tc>
        <w:tc>
          <w:tcPr>
            <w:tcW w:w="580" w:type="pct"/>
            <w:noWrap w:val="0"/>
            <w:vAlign w:val="center"/>
          </w:tcPr>
          <w:p>
            <w:pPr>
              <w:pStyle w:val="7"/>
              <w:numPr>
                <w:ilvl w:val="4"/>
                <w:numId w:val="0"/>
              </w:numPr>
              <w:spacing w:line="240" w:lineRule="auto"/>
              <w:jc w:val="center"/>
              <w:rPr>
                <w:rFonts w:hint="default" w:eastAsia="宋体"/>
                <w:color w:val="000000"/>
                <w:vertAlign w:val="baseline"/>
                <w:lang w:val="en-US" w:eastAsia="zh-CN"/>
              </w:rPr>
            </w:pPr>
          </w:p>
        </w:tc>
        <w:tc>
          <w:tcPr>
            <w:tcW w:w="696" w:type="pct"/>
            <w:noWrap w:val="0"/>
            <w:vAlign w:val="center"/>
          </w:tcPr>
          <w:p>
            <w:pPr>
              <w:pStyle w:val="7"/>
              <w:numPr>
                <w:ilvl w:val="4"/>
                <w:numId w:val="0"/>
              </w:numPr>
              <w:spacing w:line="240" w:lineRule="auto"/>
              <w:jc w:val="center"/>
              <w:rPr>
                <w:rFonts w:hint="default" w:eastAsia="宋体"/>
                <w:color w:val="000000"/>
                <w:vertAlign w:val="baseline"/>
                <w:lang w:val="en-US" w:eastAsia="zh-CN"/>
              </w:rPr>
            </w:pPr>
          </w:p>
        </w:tc>
        <w:tc>
          <w:tcPr>
            <w:tcW w:w="654" w:type="pct"/>
            <w:noWrap w:val="0"/>
            <w:vAlign w:val="center"/>
          </w:tcPr>
          <w:p>
            <w:pPr>
              <w:pStyle w:val="7"/>
              <w:numPr>
                <w:ilvl w:val="4"/>
                <w:numId w:val="0"/>
              </w:numPr>
              <w:spacing w:line="240" w:lineRule="auto"/>
              <w:jc w:val="center"/>
              <w:rPr>
                <w:rFonts w:hint="default" w:eastAsia="宋体"/>
                <w:color w:val="000000"/>
                <w:vertAlign w:val="baseline"/>
                <w:lang w:val="en-US" w:eastAsia="zh-CN"/>
              </w:rPr>
            </w:pPr>
          </w:p>
        </w:tc>
        <w:tc>
          <w:tcPr>
            <w:tcW w:w="738" w:type="pct"/>
            <w:noWrap w:val="0"/>
            <w:vAlign w:val="center"/>
          </w:tcPr>
          <w:p>
            <w:pPr>
              <w:pStyle w:val="7"/>
              <w:numPr>
                <w:ilvl w:val="4"/>
                <w:numId w:val="0"/>
              </w:numPr>
              <w:spacing w:line="240" w:lineRule="auto"/>
              <w:jc w:val="center"/>
              <w:rPr>
                <w:rFonts w:hint="default" w:eastAsia="宋体"/>
                <w:color w:val="000000"/>
                <w:vertAlign w:val="baseline"/>
                <w:lang w:val="en-US" w:eastAsia="zh-CN"/>
              </w:rPr>
            </w:pPr>
          </w:p>
        </w:tc>
        <w:tc>
          <w:tcPr>
            <w:tcW w:w="718" w:type="pct"/>
            <w:noWrap w:val="0"/>
            <w:vAlign w:val="center"/>
          </w:tcPr>
          <w:p>
            <w:pPr>
              <w:pStyle w:val="7"/>
              <w:numPr>
                <w:ilvl w:val="4"/>
                <w:numId w:val="0"/>
              </w:numPr>
              <w:spacing w:line="240" w:lineRule="auto"/>
              <w:jc w:val="center"/>
              <w:rPr>
                <w:rFonts w:hint="default" w:eastAsia="宋体"/>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 w:type="pct"/>
            <w:noWrap w:val="0"/>
            <w:vAlign w:val="center"/>
          </w:tcPr>
          <w:p>
            <w:pPr>
              <w:pStyle w:val="7"/>
              <w:numPr>
                <w:ilvl w:val="4"/>
                <w:numId w:val="0"/>
              </w:numPr>
              <w:spacing w:line="240" w:lineRule="auto"/>
              <w:jc w:val="center"/>
              <w:rPr>
                <w:rFonts w:hint="default" w:eastAsia="宋体"/>
                <w:b w:val="0"/>
                <w:bCs w:val="0"/>
                <w:color w:val="000000"/>
                <w:sz w:val="21"/>
                <w:szCs w:val="20"/>
                <w:vertAlign w:val="baseline"/>
                <w:lang w:val="en-US" w:eastAsia="zh-CN"/>
              </w:rPr>
            </w:pPr>
            <w:r>
              <w:rPr>
                <w:rFonts w:hint="eastAsia"/>
                <w:b w:val="0"/>
                <w:bCs w:val="0"/>
                <w:color w:val="000000"/>
                <w:sz w:val="21"/>
                <w:szCs w:val="20"/>
                <w:vertAlign w:val="baseline"/>
                <w:lang w:val="en-US" w:eastAsia="zh-CN"/>
              </w:rPr>
              <w:t>2</w:t>
            </w:r>
          </w:p>
        </w:tc>
        <w:tc>
          <w:tcPr>
            <w:tcW w:w="706" w:type="pct"/>
            <w:noWrap w:val="0"/>
            <w:vAlign w:val="center"/>
          </w:tcPr>
          <w:p>
            <w:pPr>
              <w:pStyle w:val="7"/>
              <w:numPr>
                <w:ilvl w:val="4"/>
                <w:numId w:val="0"/>
              </w:numPr>
              <w:spacing w:line="240" w:lineRule="auto"/>
              <w:jc w:val="center"/>
              <w:rPr>
                <w:rFonts w:hint="default" w:eastAsia="宋体"/>
                <w:color w:val="000000"/>
                <w:vertAlign w:val="baseline"/>
                <w:lang w:val="en-US" w:eastAsia="zh-CN"/>
              </w:rPr>
            </w:pPr>
          </w:p>
        </w:tc>
        <w:tc>
          <w:tcPr>
            <w:tcW w:w="559" w:type="pct"/>
            <w:noWrap w:val="0"/>
            <w:vAlign w:val="center"/>
          </w:tcPr>
          <w:p>
            <w:pPr>
              <w:pStyle w:val="7"/>
              <w:numPr>
                <w:ilvl w:val="4"/>
                <w:numId w:val="0"/>
              </w:numPr>
              <w:spacing w:line="240" w:lineRule="auto"/>
              <w:jc w:val="center"/>
              <w:rPr>
                <w:rFonts w:hint="default" w:eastAsia="宋体"/>
                <w:color w:val="000000"/>
                <w:vertAlign w:val="baseline"/>
                <w:lang w:val="en-US" w:eastAsia="zh-CN"/>
              </w:rPr>
            </w:pPr>
          </w:p>
        </w:tc>
        <w:tc>
          <w:tcPr>
            <w:tcW w:w="580" w:type="pct"/>
            <w:noWrap w:val="0"/>
            <w:vAlign w:val="center"/>
          </w:tcPr>
          <w:p>
            <w:pPr>
              <w:pStyle w:val="7"/>
              <w:numPr>
                <w:ilvl w:val="4"/>
                <w:numId w:val="0"/>
              </w:numPr>
              <w:spacing w:line="240" w:lineRule="auto"/>
              <w:jc w:val="center"/>
              <w:rPr>
                <w:rFonts w:hint="default" w:eastAsia="宋体"/>
                <w:color w:val="000000"/>
                <w:vertAlign w:val="baseline"/>
                <w:lang w:val="en-US" w:eastAsia="zh-CN"/>
              </w:rPr>
            </w:pPr>
          </w:p>
        </w:tc>
        <w:tc>
          <w:tcPr>
            <w:tcW w:w="696" w:type="pct"/>
            <w:noWrap w:val="0"/>
            <w:vAlign w:val="center"/>
          </w:tcPr>
          <w:p>
            <w:pPr>
              <w:pStyle w:val="7"/>
              <w:numPr>
                <w:ilvl w:val="4"/>
                <w:numId w:val="0"/>
              </w:numPr>
              <w:spacing w:line="240" w:lineRule="auto"/>
              <w:jc w:val="center"/>
              <w:rPr>
                <w:rFonts w:hint="default" w:eastAsia="宋体"/>
                <w:color w:val="000000"/>
                <w:vertAlign w:val="baseline"/>
                <w:lang w:val="en-US" w:eastAsia="zh-CN"/>
              </w:rPr>
            </w:pPr>
          </w:p>
        </w:tc>
        <w:tc>
          <w:tcPr>
            <w:tcW w:w="654" w:type="pct"/>
            <w:noWrap w:val="0"/>
            <w:vAlign w:val="center"/>
          </w:tcPr>
          <w:p>
            <w:pPr>
              <w:pStyle w:val="7"/>
              <w:numPr>
                <w:ilvl w:val="4"/>
                <w:numId w:val="0"/>
              </w:numPr>
              <w:spacing w:line="240" w:lineRule="auto"/>
              <w:jc w:val="center"/>
              <w:rPr>
                <w:rFonts w:hint="default" w:eastAsia="宋体"/>
                <w:color w:val="000000"/>
                <w:vertAlign w:val="baseline"/>
                <w:lang w:val="en-US" w:eastAsia="zh-CN"/>
              </w:rPr>
            </w:pPr>
          </w:p>
        </w:tc>
        <w:tc>
          <w:tcPr>
            <w:tcW w:w="738" w:type="pct"/>
            <w:noWrap w:val="0"/>
            <w:vAlign w:val="center"/>
          </w:tcPr>
          <w:p>
            <w:pPr>
              <w:pStyle w:val="7"/>
              <w:numPr>
                <w:ilvl w:val="4"/>
                <w:numId w:val="0"/>
              </w:numPr>
              <w:spacing w:line="240" w:lineRule="auto"/>
              <w:jc w:val="center"/>
              <w:rPr>
                <w:rFonts w:hint="default" w:eastAsia="宋体"/>
                <w:color w:val="000000"/>
                <w:vertAlign w:val="baseline"/>
                <w:lang w:val="en-US" w:eastAsia="zh-CN"/>
              </w:rPr>
            </w:pPr>
          </w:p>
        </w:tc>
        <w:tc>
          <w:tcPr>
            <w:tcW w:w="718" w:type="pct"/>
            <w:noWrap w:val="0"/>
            <w:vAlign w:val="center"/>
          </w:tcPr>
          <w:p>
            <w:pPr>
              <w:pStyle w:val="7"/>
              <w:numPr>
                <w:ilvl w:val="4"/>
                <w:numId w:val="0"/>
              </w:numPr>
              <w:spacing w:line="240" w:lineRule="auto"/>
              <w:jc w:val="center"/>
              <w:rPr>
                <w:rFonts w:hint="default" w:eastAsia="宋体"/>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 w:type="pct"/>
            <w:noWrap w:val="0"/>
            <w:vAlign w:val="center"/>
          </w:tcPr>
          <w:p>
            <w:pPr>
              <w:pStyle w:val="7"/>
              <w:numPr>
                <w:ilvl w:val="4"/>
                <w:numId w:val="0"/>
              </w:numPr>
              <w:spacing w:line="240" w:lineRule="auto"/>
              <w:jc w:val="center"/>
              <w:rPr>
                <w:rFonts w:hint="default"/>
                <w:b w:val="0"/>
                <w:bCs w:val="0"/>
                <w:color w:val="000000"/>
                <w:sz w:val="21"/>
                <w:szCs w:val="20"/>
                <w:vertAlign w:val="baseline"/>
                <w:lang w:val="en-US" w:eastAsia="zh-CN"/>
              </w:rPr>
            </w:pPr>
            <w:r>
              <w:rPr>
                <w:rFonts w:hint="eastAsia"/>
                <w:b w:val="0"/>
                <w:bCs w:val="0"/>
                <w:color w:val="000000"/>
                <w:sz w:val="21"/>
                <w:szCs w:val="20"/>
                <w:vertAlign w:val="baseline"/>
                <w:lang w:val="en-US" w:eastAsia="zh-CN"/>
              </w:rPr>
              <w:t>3</w:t>
            </w:r>
          </w:p>
        </w:tc>
        <w:tc>
          <w:tcPr>
            <w:tcW w:w="706" w:type="pct"/>
            <w:noWrap w:val="0"/>
            <w:vAlign w:val="center"/>
          </w:tcPr>
          <w:p>
            <w:pPr>
              <w:pStyle w:val="7"/>
              <w:numPr>
                <w:ilvl w:val="4"/>
                <w:numId w:val="0"/>
              </w:numPr>
              <w:spacing w:line="240" w:lineRule="auto"/>
              <w:jc w:val="center"/>
              <w:rPr>
                <w:rFonts w:hint="default" w:eastAsia="宋体"/>
                <w:color w:val="000000"/>
                <w:vertAlign w:val="baseline"/>
                <w:lang w:val="en-US" w:eastAsia="zh-CN"/>
              </w:rPr>
            </w:pPr>
          </w:p>
        </w:tc>
        <w:tc>
          <w:tcPr>
            <w:tcW w:w="559" w:type="pct"/>
            <w:noWrap w:val="0"/>
            <w:vAlign w:val="center"/>
          </w:tcPr>
          <w:p>
            <w:pPr>
              <w:pStyle w:val="7"/>
              <w:numPr>
                <w:ilvl w:val="4"/>
                <w:numId w:val="0"/>
              </w:numPr>
              <w:spacing w:line="240" w:lineRule="auto"/>
              <w:jc w:val="center"/>
              <w:rPr>
                <w:rFonts w:hint="default" w:eastAsia="宋体"/>
                <w:color w:val="000000"/>
                <w:vertAlign w:val="baseline"/>
                <w:lang w:val="en-US" w:eastAsia="zh-CN"/>
              </w:rPr>
            </w:pPr>
          </w:p>
        </w:tc>
        <w:tc>
          <w:tcPr>
            <w:tcW w:w="580" w:type="pct"/>
            <w:noWrap w:val="0"/>
            <w:vAlign w:val="center"/>
          </w:tcPr>
          <w:p>
            <w:pPr>
              <w:pStyle w:val="7"/>
              <w:numPr>
                <w:ilvl w:val="4"/>
                <w:numId w:val="0"/>
              </w:numPr>
              <w:spacing w:line="240" w:lineRule="auto"/>
              <w:jc w:val="center"/>
              <w:rPr>
                <w:rFonts w:hint="default" w:eastAsia="宋体"/>
                <w:color w:val="000000"/>
                <w:vertAlign w:val="baseline"/>
                <w:lang w:val="en-US" w:eastAsia="zh-CN"/>
              </w:rPr>
            </w:pPr>
          </w:p>
        </w:tc>
        <w:tc>
          <w:tcPr>
            <w:tcW w:w="696" w:type="pct"/>
            <w:noWrap w:val="0"/>
            <w:vAlign w:val="center"/>
          </w:tcPr>
          <w:p>
            <w:pPr>
              <w:pStyle w:val="7"/>
              <w:numPr>
                <w:ilvl w:val="4"/>
                <w:numId w:val="0"/>
              </w:numPr>
              <w:spacing w:line="240" w:lineRule="auto"/>
              <w:jc w:val="center"/>
              <w:rPr>
                <w:rFonts w:hint="default" w:eastAsia="宋体"/>
                <w:color w:val="000000"/>
                <w:vertAlign w:val="baseline"/>
                <w:lang w:val="en-US" w:eastAsia="zh-CN"/>
              </w:rPr>
            </w:pPr>
          </w:p>
        </w:tc>
        <w:tc>
          <w:tcPr>
            <w:tcW w:w="654" w:type="pct"/>
            <w:noWrap w:val="0"/>
            <w:vAlign w:val="center"/>
          </w:tcPr>
          <w:p>
            <w:pPr>
              <w:pStyle w:val="7"/>
              <w:numPr>
                <w:ilvl w:val="4"/>
                <w:numId w:val="0"/>
              </w:numPr>
              <w:spacing w:line="240" w:lineRule="auto"/>
              <w:jc w:val="center"/>
              <w:rPr>
                <w:rFonts w:hint="default" w:eastAsia="宋体"/>
                <w:color w:val="000000"/>
                <w:vertAlign w:val="baseline"/>
                <w:lang w:val="en-US" w:eastAsia="zh-CN"/>
              </w:rPr>
            </w:pPr>
          </w:p>
        </w:tc>
        <w:tc>
          <w:tcPr>
            <w:tcW w:w="738" w:type="pct"/>
            <w:noWrap w:val="0"/>
            <w:vAlign w:val="center"/>
          </w:tcPr>
          <w:p>
            <w:pPr>
              <w:pStyle w:val="7"/>
              <w:numPr>
                <w:ilvl w:val="4"/>
                <w:numId w:val="0"/>
              </w:numPr>
              <w:spacing w:line="240" w:lineRule="auto"/>
              <w:jc w:val="center"/>
              <w:rPr>
                <w:rFonts w:hint="default" w:eastAsia="宋体"/>
                <w:color w:val="000000"/>
                <w:vertAlign w:val="baseline"/>
                <w:lang w:val="en-US" w:eastAsia="zh-CN"/>
              </w:rPr>
            </w:pPr>
          </w:p>
        </w:tc>
        <w:tc>
          <w:tcPr>
            <w:tcW w:w="718" w:type="pct"/>
            <w:noWrap w:val="0"/>
            <w:vAlign w:val="center"/>
          </w:tcPr>
          <w:p>
            <w:pPr>
              <w:pStyle w:val="7"/>
              <w:numPr>
                <w:ilvl w:val="4"/>
                <w:numId w:val="0"/>
              </w:numPr>
              <w:spacing w:line="240" w:lineRule="auto"/>
              <w:jc w:val="center"/>
              <w:rPr>
                <w:rFonts w:hint="default" w:eastAsia="宋体"/>
                <w:color w:val="000000"/>
                <w:vertAlign w:val="baseline"/>
                <w:lang w:val="en-US" w:eastAsia="zh-CN"/>
              </w:rPr>
            </w:pPr>
          </w:p>
        </w:tc>
      </w:tr>
    </w:tbl>
    <w:p>
      <w:pPr>
        <w:pStyle w:val="4"/>
        <w:bidi w:val="0"/>
        <w:rPr>
          <w:rFonts w:hint="eastAsia"/>
        </w:rPr>
      </w:pPr>
      <w:r>
        <w:rPr>
          <w:rFonts w:hint="eastAsia"/>
        </w:rPr>
        <w:t>二、受让方资格要求</w:t>
      </w:r>
    </w:p>
    <w:p>
      <w:pPr>
        <w:bidi w:val="0"/>
        <w:rPr>
          <w:rFonts w:hint="eastAsia"/>
        </w:rPr>
      </w:pPr>
      <w:r>
        <w:rPr>
          <w:rFonts w:hint="eastAsia"/>
        </w:rPr>
        <w:t>1</w:t>
      </w:r>
      <w:r>
        <w:rPr>
          <w:rFonts w:hint="eastAsia"/>
          <w:lang w:val="en-US" w:eastAsia="zh-CN"/>
        </w:rPr>
        <w:t>.</w:t>
      </w:r>
      <w:r>
        <w:rPr>
          <w:rFonts w:hint="eastAsia"/>
        </w:rPr>
        <w:t>具有完全民事行为能力的自然人、法人或者其他组织，并自愿承担网络竞价的风险。</w:t>
      </w:r>
    </w:p>
    <w:p>
      <w:pPr>
        <w:bidi w:val="0"/>
        <w:rPr>
          <w:rFonts w:hint="eastAsia"/>
        </w:rPr>
      </w:pPr>
      <w:r>
        <w:rPr>
          <w:rFonts w:hint="eastAsia"/>
        </w:rPr>
        <w:t>2</w:t>
      </w:r>
      <w:r>
        <w:rPr>
          <w:rFonts w:hint="eastAsia"/>
          <w:lang w:val="en-US" w:eastAsia="zh-CN"/>
        </w:rPr>
        <w:t>.</w:t>
      </w:r>
      <w:r>
        <w:rPr>
          <w:rFonts w:hint="eastAsia"/>
        </w:rPr>
        <w:t xml:space="preserve">是否设置优先竞得人。 </w:t>
      </w:r>
    </w:p>
    <w:p>
      <w:pPr>
        <w:pStyle w:val="4"/>
        <w:bidi w:val="0"/>
        <w:rPr>
          <w:rFonts w:hint="eastAsia"/>
        </w:rPr>
      </w:pPr>
      <w:r>
        <w:rPr>
          <w:rFonts w:hint="eastAsia"/>
        </w:rPr>
        <w:t>三、标的展示时间及地点</w:t>
      </w:r>
    </w:p>
    <w:p>
      <w:pPr>
        <w:bidi w:val="0"/>
        <w:rPr>
          <w:rFonts w:hint="eastAsia"/>
        </w:rPr>
      </w:pP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r>
        <w:rPr>
          <w:rFonts w:hint="eastAsia"/>
          <w:lang w:val="en-US" w:eastAsia="zh-CN"/>
        </w:rPr>
        <w:t xml:space="preserve">  </w:t>
      </w:r>
      <w:r>
        <w:rPr>
          <w:rFonts w:hint="eastAsia"/>
        </w:rPr>
        <w:t>日（8:30-17:00），</w:t>
      </w:r>
    </w:p>
    <w:p>
      <w:pPr>
        <w:bidi w:val="0"/>
        <w:rPr>
          <w:rFonts w:hint="eastAsia"/>
        </w:rPr>
      </w:pPr>
      <w:r>
        <w:rPr>
          <w:rFonts w:hint="eastAsia"/>
        </w:rPr>
        <w:t>威海市</w:t>
      </w:r>
      <w:r>
        <w:rPr>
          <w:rFonts w:hint="eastAsia"/>
          <w:lang w:val="en-US" w:eastAsia="zh-CN"/>
        </w:rPr>
        <w:t xml:space="preserve">   </w:t>
      </w:r>
      <w:r>
        <w:rPr>
          <w:rFonts w:hint="eastAsia"/>
        </w:rPr>
        <w:t>区</w:t>
      </w:r>
      <w:r>
        <w:rPr>
          <w:rFonts w:hint="eastAsia"/>
          <w:lang w:val="en-US" w:eastAsia="zh-CN"/>
        </w:rPr>
        <w:t xml:space="preserve">  </w:t>
      </w:r>
      <w:r>
        <w:rPr>
          <w:rFonts w:hint="eastAsia"/>
        </w:rPr>
        <w:t>街</w:t>
      </w:r>
      <w:r>
        <w:rPr>
          <w:rFonts w:hint="eastAsia"/>
          <w:lang w:val="en-US" w:eastAsia="zh-CN"/>
        </w:rPr>
        <w:t xml:space="preserve">   </w:t>
      </w:r>
      <w:r>
        <w:rPr>
          <w:rFonts w:hint="eastAsia"/>
        </w:rPr>
        <w:t>号。</w:t>
      </w:r>
    </w:p>
    <w:p>
      <w:pPr>
        <w:pStyle w:val="4"/>
        <w:bidi w:val="0"/>
        <w:rPr>
          <w:rFonts w:hint="eastAsia"/>
        </w:rPr>
      </w:pPr>
      <w:r>
        <w:rPr>
          <w:rFonts w:hint="eastAsia"/>
        </w:rPr>
        <w:t>四、网上注册</w:t>
      </w:r>
    </w:p>
    <w:p>
      <w:pPr>
        <w:bidi w:val="0"/>
        <w:rPr>
          <w:rFonts w:hint="eastAsia"/>
        </w:rPr>
      </w:pPr>
      <w:r>
        <w:rPr>
          <w:rFonts w:hint="eastAsia"/>
        </w:rPr>
        <w:t>竞买人登录“威海市公共资源交易网—交易服务一网通办”，进行注册、实名认证。</w:t>
      </w:r>
    </w:p>
    <w:p>
      <w:pPr>
        <w:bidi w:val="0"/>
        <w:rPr>
          <w:rFonts w:hint="eastAsia"/>
        </w:rPr>
      </w:pPr>
      <w:r>
        <w:rPr>
          <w:rFonts w:hint="eastAsia"/>
        </w:rPr>
        <w:t>操作手册详见“威海市公共资源交易网-办事指南-产权交易专区”。</w:t>
      </w:r>
    </w:p>
    <w:p>
      <w:pPr>
        <w:pStyle w:val="4"/>
        <w:bidi w:val="0"/>
        <w:rPr>
          <w:rFonts w:hint="eastAsia"/>
        </w:rPr>
      </w:pPr>
      <w:r>
        <w:rPr>
          <w:rFonts w:hint="eastAsia"/>
        </w:rPr>
        <w:t>五、竞买申请</w:t>
      </w:r>
    </w:p>
    <w:p>
      <w:pPr>
        <w:bidi w:val="0"/>
        <w:rPr>
          <w:rFonts w:hint="eastAsia" w:eastAsia="仿宋_GB2312"/>
          <w:lang w:eastAsia="zh-CN"/>
        </w:rPr>
      </w:pPr>
      <w:r>
        <w:rPr>
          <w:rStyle w:val="14"/>
          <w:rFonts w:hint="eastAsia"/>
        </w:rPr>
        <w:t>1</w:t>
      </w:r>
      <w:r>
        <w:rPr>
          <w:rStyle w:val="14"/>
          <w:rFonts w:hint="eastAsia"/>
          <w:lang w:val="en-US" w:eastAsia="zh-CN"/>
        </w:rPr>
        <w:t>.</w:t>
      </w:r>
      <w:r>
        <w:rPr>
          <w:rStyle w:val="14"/>
          <w:rFonts w:hint="eastAsia"/>
        </w:rPr>
        <w:t>申请时间：</w:t>
      </w:r>
      <w:r>
        <w:rPr>
          <w:rFonts w:hint="eastAsia"/>
        </w:rPr>
        <w:t>自公告之日起—</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r>
        <w:rPr>
          <w:rFonts w:hint="eastAsia"/>
          <w:lang w:val="en-US" w:eastAsia="zh-CN"/>
        </w:rPr>
        <w:t xml:space="preserve">  </w:t>
      </w:r>
      <w:r>
        <w:rPr>
          <w:rFonts w:hint="eastAsia"/>
        </w:rPr>
        <w:t>时</w:t>
      </w:r>
      <w:r>
        <w:rPr>
          <w:rFonts w:hint="eastAsia"/>
          <w:lang w:eastAsia="zh-CN"/>
        </w:rPr>
        <w:t>。</w:t>
      </w:r>
    </w:p>
    <w:p>
      <w:pPr>
        <w:bidi w:val="0"/>
        <w:rPr>
          <w:rFonts w:hint="eastAsia"/>
        </w:rPr>
      </w:pPr>
      <w:r>
        <w:rPr>
          <w:rStyle w:val="14"/>
          <w:rFonts w:hint="eastAsia"/>
        </w:rPr>
        <w:t>2</w:t>
      </w:r>
      <w:r>
        <w:rPr>
          <w:rStyle w:val="14"/>
          <w:rFonts w:hint="eastAsia"/>
          <w:lang w:val="en-US" w:eastAsia="zh-CN"/>
        </w:rPr>
        <w:t>.</w:t>
      </w:r>
      <w:r>
        <w:rPr>
          <w:rStyle w:val="14"/>
          <w:rFonts w:hint="eastAsia"/>
        </w:rPr>
        <w:t>竞买流程：</w:t>
      </w:r>
      <w:r>
        <w:rPr>
          <w:rFonts w:hint="eastAsia"/>
        </w:rPr>
        <w:t>竞买人登录“威海市产权电子交易系统”进行网上竞买申请、交纳保证金、参加网络竞价等。</w:t>
      </w:r>
    </w:p>
    <w:p>
      <w:pPr>
        <w:pStyle w:val="4"/>
        <w:bidi w:val="0"/>
        <w:rPr>
          <w:rFonts w:hint="eastAsia"/>
        </w:rPr>
      </w:pPr>
      <w:r>
        <w:rPr>
          <w:rFonts w:hint="eastAsia"/>
        </w:rPr>
        <w:t>六、交纳保证金</w:t>
      </w:r>
    </w:p>
    <w:p>
      <w:pPr>
        <w:bidi w:val="0"/>
        <w:rPr>
          <w:rFonts w:hint="eastAsia"/>
        </w:rPr>
      </w:pPr>
      <w:r>
        <w:rPr>
          <w:rStyle w:val="14"/>
          <w:rFonts w:hint="eastAsia"/>
        </w:rPr>
        <w:t>1.交纳时间：</w:t>
      </w:r>
      <w:r>
        <w:rPr>
          <w:rFonts w:hint="eastAsia"/>
        </w:rPr>
        <w:t>自公告之日起至</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r>
        <w:rPr>
          <w:rFonts w:hint="eastAsia"/>
          <w:lang w:val="en-US" w:eastAsia="zh-CN"/>
        </w:rPr>
        <w:t xml:space="preserve">  </w:t>
      </w:r>
      <w:r>
        <w:rPr>
          <w:rFonts w:hint="eastAsia"/>
        </w:rPr>
        <w:t>时。</w:t>
      </w:r>
    </w:p>
    <w:p>
      <w:pPr>
        <w:bidi w:val="0"/>
        <w:rPr>
          <w:rFonts w:hint="eastAsia"/>
        </w:rPr>
      </w:pPr>
      <w:r>
        <w:rPr>
          <w:rStyle w:val="14"/>
          <w:rFonts w:hint="eastAsia"/>
        </w:rPr>
        <w:t>2.交纳方式：</w:t>
      </w:r>
      <w:r>
        <w:rPr>
          <w:rFonts w:hint="eastAsia"/>
        </w:rPr>
        <w:t>竞买人按照威海市产权电子交易系统中生成的保证金交纳账号，通过网上银行或电汇的方式足额交纳保证金，并将交纳凭证的有效证件，在</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r>
        <w:rPr>
          <w:rFonts w:hint="eastAsia"/>
          <w:lang w:val="en-US" w:eastAsia="zh-CN"/>
        </w:rPr>
        <w:t xml:space="preserve">  </w:t>
      </w:r>
      <w:r>
        <w:rPr>
          <w:rFonts w:hint="eastAsia"/>
        </w:rPr>
        <w:t>时前上传至产权电子交易系统内，转让方（代理）审核通过后，方可取得竞买资格，逾期不予办理。</w:t>
      </w:r>
    </w:p>
    <w:p>
      <w:pPr>
        <w:bidi w:val="0"/>
        <w:rPr>
          <w:rFonts w:hint="eastAsia"/>
        </w:rPr>
      </w:pPr>
      <w:r>
        <w:rPr>
          <w:rFonts w:hint="eastAsia"/>
        </w:rPr>
        <w:t>如有疑问，请联系</w:t>
      </w:r>
      <w:r>
        <w:rPr>
          <w:rFonts w:hint="eastAsia"/>
          <w:lang w:eastAsia="zh-CN"/>
        </w:rPr>
        <w:t>（电话）</w:t>
      </w:r>
      <w:r>
        <w:rPr>
          <w:rFonts w:hint="eastAsia"/>
          <w:lang w:val="en-US" w:eastAsia="zh-CN"/>
        </w:rPr>
        <w:t xml:space="preserve">  </w:t>
      </w:r>
      <w:r>
        <w:rPr>
          <w:rFonts w:hint="eastAsia"/>
        </w:rPr>
        <w:t>。</w:t>
      </w:r>
    </w:p>
    <w:p>
      <w:pPr>
        <w:pStyle w:val="4"/>
        <w:bidi w:val="0"/>
        <w:rPr>
          <w:rFonts w:hint="eastAsia"/>
        </w:rPr>
      </w:pPr>
      <w:r>
        <w:rPr>
          <w:rFonts w:hint="eastAsia"/>
        </w:rPr>
        <w:t>七、竞价时间及规则</w:t>
      </w:r>
    </w:p>
    <w:p>
      <w:pPr>
        <w:bidi w:val="0"/>
        <w:rPr>
          <w:rFonts w:hint="eastAsia"/>
        </w:rPr>
      </w:pP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日上午10</w:t>
      </w:r>
      <w:r>
        <w:rPr>
          <w:rFonts w:hint="eastAsia"/>
          <w:lang w:val="en-US" w:eastAsia="zh-CN"/>
        </w:rPr>
        <w:t>:</w:t>
      </w:r>
      <w:r>
        <w:rPr>
          <w:rFonts w:hint="eastAsia"/>
        </w:rPr>
        <w:t>00</w:t>
      </w:r>
      <w:r>
        <w:rPr>
          <w:rFonts w:hint="eastAsia"/>
          <w:lang w:eastAsia="zh-CN"/>
        </w:rPr>
        <w:t>—</w:t>
      </w:r>
      <w:r>
        <w:rPr>
          <w:rFonts w:hint="eastAsia"/>
          <w:lang w:val="en-US" w:eastAsia="zh-CN"/>
        </w:rPr>
        <w:t xml:space="preserve"> </w:t>
      </w:r>
      <w:r>
        <w:rPr>
          <w:rFonts w:hint="eastAsia"/>
        </w:rPr>
        <w:t>月</w:t>
      </w:r>
      <w:r>
        <w:rPr>
          <w:rFonts w:hint="eastAsia"/>
          <w:lang w:val="en-US" w:eastAsia="zh-CN"/>
        </w:rPr>
        <w:t xml:space="preserve">  </w:t>
      </w:r>
      <w:r>
        <w:rPr>
          <w:rFonts w:hint="eastAsia"/>
        </w:rPr>
        <w:t>日上午10</w:t>
      </w:r>
      <w:r>
        <w:rPr>
          <w:rFonts w:hint="eastAsia"/>
          <w:lang w:val="en-US" w:eastAsia="zh-CN"/>
        </w:rPr>
        <w:t>:</w:t>
      </w:r>
      <w:r>
        <w:rPr>
          <w:rFonts w:hint="eastAsia"/>
        </w:rPr>
        <w:t>00</w:t>
      </w:r>
      <w:r>
        <w:rPr>
          <w:rFonts w:hint="eastAsia"/>
          <w:lang w:eastAsia="zh-CN"/>
        </w:rPr>
        <w:t>（定时报价</w:t>
      </w:r>
      <w:bookmarkStart w:id="0" w:name="_GoBack"/>
      <w:bookmarkEnd w:id="0"/>
      <w:r>
        <w:rPr>
          <w:rFonts w:hint="eastAsia"/>
          <w:lang w:eastAsia="zh-CN"/>
        </w:rPr>
        <w:t>）</w:t>
      </w:r>
      <w:r>
        <w:rPr>
          <w:rFonts w:hint="eastAsia"/>
        </w:rPr>
        <w:t>，在威海市产权电子交易系统开始网络竞价，包括定时报价和限时竞价两部分。</w:t>
      </w:r>
    </w:p>
    <w:p>
      <w:pPr>
        <w:bidi w:val="0"/>
        <w:rPr>
          <w:rFonts w:hint="eastAsia"/>
        </w:rPr>
      </w:pPr>
      <w:r>
        <w:rPr>
          <w:rFonts w:hint="eastAsia"/>
        </w:rPr>
        <w:t>网上报价基本原则为：</w:t>
      </w:r>
    </w:p>
    <w:p>
      <w:pPr>
        <w:bidi w:val="0"/>
        <w:rPr>
          <w:rFonts w:hint="eastAsia"/>
        </w:rPr>
      </w:pPr>
      <w:r>
        <w:rPr>
          <w:rFonts w:hint="eastAsia"/>
        </w:rPr>
        <w:t>①以增价方式报价；</w:t>
      </w:r>
    </w:p>
    <w:p>
      <w:pPr>
        <w:bidi w:val="0"/>
        <w:rPr>
          <w:rFonts w:hint="eastAsia"/>
        </w:rPr>
      </w:pPr>
      <w:r>
        <w:rPr>
          <w:rFonts w:hint="eastAsia"/>
        </w:rPr>
        <w:t>②报价期间竞买人可多次报价；</w:t>
      </w:r>
    </w:p>
    <w:p>
      <w:pPr>
        <w:bidi w:val="0"/>
        <w:rPr>
          <w:rFonts w:hint="eastAsia"/>
        </w:rPr>
      </w:pPr>
      <w:r>
        <w:rPr>
          <w:rFonts w:hint="eastAsia"/>
        </w:rPr>
        <w:t>③初次报价不得低于起始价；</w:t>
      </w:r>
    </w:p>
    <w:p>
      <w:pPr>
        <w:bidi w:val="0"/>
        <w:rPr>
          <w:rFonts w:hint="eastAsia"/>
        </w:rPr>
      </w:pPr>
      <w:r>
        <w:rPr>
          <w:rFonts w:hint="eastAsia"/>
        </w:rPr>
        <w:t>④初次报价后每次报价应当比当前最高报价递增一个加价幅度或其整数倍数；</w:t>
      </w:r>
    </w:p>
    <w:p>
      <w:pPr>
        <w:bidi w:val="0"/>
        <w:rPr>
          <w:rFonts w:hint="eastAsia"/>
        </w:rPr>
      </w:pPr>
      <w:r>
        <w:rPr>
          <w:rFonts w:hint="eastAsia"/>
        </w:rPr>
        <w:t>⑤在网上定时报价期间，竞买人应当进行至少一次有效报价，方有资格参加限时竞价。</w:t>
      </w:r>
    </w:p>
    <w:p>
      <w:pPr>
        <w:bidi w:val="0"/>
        <w:rPr>
          <w:rFonts w:hint="eastAsia"/>
        </w:rPr>
      </w:pPr>
      <w:r>
        <w:rPr>
          <w:rFonts w:hint="eastAsia"/>
        </w:rPr>
        <w:t>⑥符合报价规则的报价一经提交即视为有效报价，不得撤回；当其他竞买人有更高应价时，其应价即丧失约束力；</w:t>
      </w:r>
    </w:p>
    <w:p>
      <w:pPr>
        <w:bidi w:val="0"/>
        <w:rPr>
          <w:rFonts w:hint="eastAsia"/>
        </w:rPr>
      </w:pPr>
      <w:r>
        <w:rPr>
          <w:rFonts w:hint="eastAsia"/>
        </w:rPr>
        <w:t>⑦定时报价时间一般为24小时；</w:t>
      </w:r>
    </w:p>
    <w:p>
      <w:pPr>
        <w:bidi w:val="0"/>
        <w:rPr>
          <w:rFonts w:hint="eastAsia"/>
        </w:rPr>
      </w:pPr>
      <w:r>
        <w:rPr>
          <w:rFonts w:hint="eastAsia"/>
        </w:rPr>
        <w:t>⑧定时报价结束后，系统开始限时竞价，限时报价时间一般为5分钟。</w:t>
      </w:r>
    </w:p>
    <w:p>
      <w:pPr>
        <w:bidi w:val="0"/>
        <w:rPr>
          <w:rFonts w:hint="eastAsia"/>
        </w:rPr>
      </w:pPr>
      <w:r>
        <w:rPr>
          <w:rFonts w:hint="eastAsia"/>
        </w:rPr>
        <w:t>限时竞价程序为：</w:t>
      </w:r>
    </w:p>
    <w:p>
      <w:pPr>
        <w:bidi w:val="0"/>
        <w:rPr>
          <w:rFonts w:hint="eastAsia"/>
        </w:rPr>
      </w:pPr>
      <w:r>
        <w:rPr>
          <w:rFonts w:hint="eastAsia"/>
        </w:rPr>
        <w:t>①意向受让人应严格按照报价规则参加限时竞价，如在5分钟内任一时间点有新的报价，系统即从此时间点起再顺延5分钟，供意向受让人作新一轮竞价，并按此方式依次顺延。</w:t>
      </w:r>
    </w:p>
    <w:p>
      <w:pPr>
        <w:bidi w:val="0"/>
        <w:rPr>
          <w:rFonts w:hint="eastAsia"/>
        </w:rPr>
      </w:pPr>
      <w:r>
        <w:rPr>
          <w:rFonts w:hint="eastAsia"/>
        </w:rPr>
        <w:t xml:space="preserve">②5分钟限时内没有新的报价，系统将自动关闭报价通道，确认当前最高报价为最终报价。   </w:t>
      </w:r>
    </w:p>
    <w:p>
      <w:pPr>
        <w:pStyle w:val="4"/>
        <w:bidi w:val="0"/>
        <w:rPr>
          <w:rFonts w:hint="eastAsia"/>
        </w:rPr>
      </w:pPr>
      <w:r>
        <w:rPr>
          <w:rFonts w:hint="eastAsia"/>
        </w:rPr>
        <w:t>八、成交公示</w:t>
      </w:r>
    </w:p>
    <w:p>
      <w:pPr>
        <w:bidi w:val="0"/>
        <w:rPr>
          <w:rFonts w:hint="eastAsia"/>
        </w:rPr>
      </w:pPr>
      <w:r>
        <w:rPr>
          <w:rFonts w:hint="eastAsia"/>
        </w:rPr>
        <w:t>竞价结束后，发布成交公示，公示期不少于5个工作日。</w:t>
      </w:r>
    </w:p>
    <w:p>
      <w:pPr>
        <w:pStyle w:val="4"/>
        <w:bidi w:val="0"/>
        <w:rPr>
          <w:rFonts w:hint="eastAsia"/>
        </w:rPr>
      </w:pPr>
      <w:r>
        <w:rPr>
          <w:rFonts w:hint="eastAsia"/>
        </w:rPr>
        <w:t>九、办理成交转让手续</w:t>
      </w:r>
    </w:p>
    <w:p>
      <w:pPr>
        <w:bidi w:val="0"/>
        <w:rPr>
          <w:rFonts w:hint="eastAsia"/>
        </w:rPr>
      </w:pPr>
      <w:r>
        <w:rPr>
          <w:rFonts w:hint="eastAsia"/>
        </w:rPr>
        <w:t xml:space="preserve">公示无异议后，转让人（代理）工作人员持公共资源交易中心出具的《交易结果通知书》，组织交易双方签订转让合同书，办理资产移交手续。 </w:t>
      </w:r>
    </w:p>
    <w:p>
      <w:pPr>
        <w:pStyle w:val="4"/>
        <w:bidi w:val="0"/>
        <w:rPr>
          <w:rFonts w:hint="eastAsia"/>
        </w:rPr>
      </w:pPr>
      <w:r>
        <w:rPr>
          <w:rFonts w:hint="eastAsia"/>
        </w:rPr>
        <w:t>十、其他竞买须知（特殊要求）</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4"/>
        <w:bidi w:val="0"/>
        <w:rPr>
          <w:rFonts w:hint="eastAsia"/>
        </w:rPr>
      </w:pPr>
      <w:r>
        <w:rPr>
          <w:rFonts w:hint="eastAsia"/>
        </w:rPr>
        <w:t>十一、项目咨询、联系方式</w:t>
      </w:r>
    </w:p>
    <w:p>
      <w:pPr>
        <w:bidi w:val="0"/>
        <w:rPr>
          <w:rFonts w:hint="eastAsia"/>
        </w:rPr>
      </w:pPr>
      <w:r>
        <w:rPr>
          <w:rFonts w:hint="eastAsia"/>
        </w:rPr>
        <w:t xml:space="preserve">联系人： </w:t>
      </w:r>
      <w:r>
        <w:rPr>
          <w:rFonts w:hint="eastAsia"/>
          <w:lang w:val="en-US" w:eastAsia="zh-CN"/>
        </w:rPr>
        <w:t xml:space="preserve">      </w:t>
      </w:r>
      <w:r>
        <w:rPr>
          <w:rFonts w:hint="eastAsia"/>
        </w:rPr>
        <w:t xml:space="preserve"> </w:t>
      </w:r>
      <w:r>
        <w:rPr>
          <w:rFonts w:hint="eastAsia"/>
          <w:lang w:eastAsia="zh-CN"/>
        </w:rPr>
        <w:t>电话：</w:t>
      </w:r>
    </w:p>
    <w:p>
      <w:pPr>
        <w:bidi w:val="0"/>
        <w:rPr>
          <w:rFonts w:hint="eastAsia"/>
        </w:rPr>
      </w:pPr>
      <w:r>
        <w:rPr>
          <w:rFonts w:hint="eastAsia"/>
        </w:rPr>
        <w:t>联系地址：</w:t>
      </w:r>
    </w:p>
    <w:p>
      <w:pPr>
        <w:bidi w:val="0"/>
        <w:rPr>
          <w:rFonts w:hint="eastAsia"/>
        </w:rPr>
      </w:pPr>
    </w:p>
    <w:p>
      <w:pPr>
        <w:bidi w:val="0"/>
        <w:ind w:leftChars="1500"/>
        <w:rPr>
          <w:rFonts w:hint="eastAsia"/>
        </w:rPr>
      </w:pP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sectPr>
      <w:footerReference r:id="rId5" w:type="default"/>
      <w:pgSz w:w="11906" w:h="16838"/>
      <w:pgMar w:top="1814" w:right="1474" w:bottom="1814" w:left="1474" w:header="851" w:footer="992" w:gutter="0"/>
      <w:pgNumType w:fmt="decimal"/>
      <w:cols w:space="0" w:num="1"/>
      <w:rtlGutter w:val="0"/>
      <w:docGrid w:type="lines" w:linePitch="44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lang w:val="en-US"/>
      </w:rPr>
    </w:lvl>
    <w:lvl w:ilvl="3" w:tentative="0">
      <w:start w:val="1"/>
      <w:numFmt w:val="decimal"/>
      <w:lvlText w:val="%1.%2.%3.%4"/>
      <w:lvlJc w:val="left"/>
      <w:pPr>
        <w:ind w:left="850" w:hanging="708"/>
      </w:pPr>
      <w:rPr>
        <w:rFonts w:hint="eastAsia"/>
      </w:rPr>
    </w:lvl>
    <w:lvl w:ilvl="4" w:tentative="0">
      <w:start w:val="1"/>
      <w:numFmt w:val="decimal"/>
      <w:pStyle w:val="7"/>
      <w:lvlText w:val="%1.%2.%3.%4.%5"/>
      <w:lvlJc w:val="left"/>
      <w:pPr>
        <w:ind w:left="2551" w:hanging="850"/>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OTAxYzg5YjkzNDBkMmY2MTA3OTc0MTQ5NGE4NmMifQ=="/>
  </w:docVars>
  <w:rsids>
    <w:rsidRoot w:val="18131C27"/>
    <w:rsid w:val="06BF7516"/>
    <w:rsid w:val="11247FAF"/>
    <w:rsid w:val="13B05BF7"/>
    <w:rsid w:val="18131C27"/>
    <w:rsid w:val="23EC6CA9"/>
    <w:rsid w:val="2A9BDF14"/>
    <w:rsid w:val="3293788C"/>
    <w:rsid w:val="35EE65DD"/>
    <w:rsid w:val="405A5E8D"/>
    <w:rsid w:val="49D71960"/>
    <w:rsid w:val="5A7B5968"/>
    <w:rsid w:val="5EA9114C"/>
    <w:rsid w:val="62BD43B2"/>
    <w:rsid w:val="66F71EF3"/>
    <w:rsid w:val="6F3F61B2"/>
    <w:rsid w:val="6FB31093"/>
    <w:rsid w:val="733D3002"/>
    <w:rsid w:val="78E96453"/>
    <w:rsid w:val="79DE2FDA"/>
    <w:rsid w:val="7BB8348D"/>
    <w:rsid w:val="7FFF23CE"/>
    <w:rsid w:val="F6FFD641"/>
    <w:rsid w:val="FFF7F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420" w:firstLineChars="200"/>
      <w:jc w:val="both"/>
    </w:pPr>
    <w:rPr>
      <w:rFonts w:ascii="宋体" w:hAnsi="宋体" w:eastAsia="仿宋_GB2312" w:cs="宋体"/>
      <w:kern w:val="2"/>
      <w:sz w:val="32"/>
      <w:szCs w:val="32"/>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ascii="方正小标宋简体" w:hAnsi="方正小标宋简体" w:eastAsia="方正小标宋简体"/>
      <w:kern w:val="44"/>
      <w:sz w:val="44"/>
      <w:szCs w:val="44"/>
    </w:rPr>
  </w:style>
  <w:style w:type="paragraph" w:styleId="4">
    <w:name w:val="heading 2"/>
    <w:basedOn w:val="1"/>
    <w:next w:val="1"/>
    <w:link w:val="12"/>
    <w:unhideWhenUsed/>
    <w:qFormat/>
    <w:uiPriority w:val="0"/>
    <w:pPr>
      <w:keepNext/>
      <w:keepLines/>
      <w:spacing w:beforeLines="0" w:beforeAutospacing="0" w:afterLines="0" w:afterAutospacing="0" w:line="560" w:lineRule="exact"/>
      <w:outlineLvl w:val="1"/>
    </w:pPr>
    <w:rPr>
      <w:rFonts w:eastAsia="黑体"/>
    </w:rPr>
  </w:style>
  <w:style w:type="paragraph" w:styleId="5">
    <w:name w:val="heading 3"/>
    <w:basedOn w:val="1"/>
    <w:next w:val="1"/>
    <w:link w:val="14"/>
    <w:unhideWhenUsed/>
    <w:qFormat/>
    <w:uiPriority w:val="0"/>
    <w:pPr>
      <w:keepNext/>
      <w:keepLines/>
      <w:spacing w:beforeLines="0" w:beforeAutospacing="0" w:afterLines="0" w:afterAutospacing="0" w:line="560" w:lineRule="exact"/>
      <w:outlineLvl w:val="2"/>
    </w:pPr>
    <w:rPr>
      <w:rFonts w:ascii="宋体" w:hAnsi="宋体" w:eastAsia="楷体_GB2312" w:cs="宋体"/>
    </w:rPr>
  </w:style>
  <w:style w:type="paragraph" w:styleId="6">
    <w:name w:val="heading 4"/>
    <w:basedOn w:val="1"/>
    <w:next w:val="1"/>
    <w:link w:val="13"/>
    <w:semiHidden/>
    <w:unhideWhenUsed/>
    <w:qFormat/>
    <w:uiPriority w:val="0"/>
    <w:pPr>
      <w:keepNext/>
      <w:keepLines/>
      <w:spacing w:beforeLines="0" w:beforeAutospacing="0" w:afterLines="0" w:afterAutospacing="0" w:line="560" w:lineRule="exact"/>
      <w:outlineLvl w:val="3"/>
    </w:pPr>
    <w:rPr>
      <w:b/>
    </w:rPr>
  </w:style>
  <w:style w:type="paragraph" w:styleId="7">
    <w:name w:val="heading 5"/>
    <w:basedOn w:val="1"/>
    <w:next w:val="1"/>
    <w:qFormat/>
    <w:uiPriority w:val="0"/>
    <w:pPr>
      <w:keepNext/>
      <w:keepLines/>
      <w:numPr>
        <w:ilvl w:val="4"/>
        <w:numId w:val="1"/>
      </w:numPr>
      <w:ind w:left="851" w:hanging="851"/>
      <w:outlineLvl w:val="4"/>
    </w:pPr>
    <w:rPr>
      <w:b/>
      <w:bCs/>
      <w:szCs w:val="28"/>
    </w:rPr>
  </w:style>
  <w:style w:type="character" w:default="1" w:styleId="11">
    <w:name w:val="Default Paragraph Font"/>
    <w:semiHidden/>
    <w:qFormat/>
    <w:uiPriority w:val="0"/>
    <w:rPr>
      <w:rFonts w:ascii="宋体" w:hAnsi="宋体" w:eastAsia="仿宋_GB2312" w:cs="宋体"/>
      <w:sz w:val="32"/>
      <w:szCs w:val="32"/>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ind w:left="320" w:leftChars="100" w:right="320" w:rightChars="100" w:firstLine="0" w:firstLineChars="0"/>
      <w:jc w:val="both"/>
    </w:pPr>
    <w:rPr>
      <w:rFonts w:eastAsia="宋体"/>
      <w:sz w:val="28"/>
      <w:szCs w:val="2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标题 2 Char"/>
    <w:link w:val="4"/>
    <w:qFormat/>
    <w:uiPriority w:val="0"/>
    <w:rPr>
      <w:rFonts w:eastAsia="黑体"/>
      <w:sz w:val="32"/>
    </w:rPr>
  </w:style>
  <w:style w:type="character" w:customStyle="1" w:styleId="13">
    <w:name w:val="标题 4 Char"/>
    <w:link w:val="6"/>
    <w:qFormat/>
    <w:uiPriority w:val="0"/>
    <w:rPr>
      <w:rFonts w:eastAsia="仿宋_GB2312"/>
      <w:b/>
      <w:sz w:val="32"/>
    </w:rPr>
  </w:style>
  <w:style w:type="character" w:customStyle="1" w:styleId="14">
    <w:name w:val="标题 3 Char"/>
    <w:link w:val="5"/>
    <w:qFormat/>
    <w:uiPriority w:val="0"/>
    <w:rPr>
      <w:rFonts w:ascii="宋体" w:hAnsi="宋体" w:eastAsia="楷体_GB2312" w:cs="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1040</Words>
  <Characters>1074</Characters>
  <Lines>0</Lines>
  <Paragraphs>0</Paragraphs>
  <TotalTime>1</TotalTime>
  <ScaleCrop>false</ScaleCrop>
  <LinksUpToDate>false</LinksUpToDate>
  <CharactersWithSpaces>1169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2023-03-22T09:26:00Z</dcterms:created>
  <dc:creator>Cyy</dc:creator>
  <cp:lastModifiedBy>Administrator</cp:lastModifiedBy>
  <dcterms:modified xsi:type="dcterms:W3CDTF">2023-03-23T03:06:20Z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5CA9D39FE53F484B86C49AA0BDC2DE54</vt:lpwstr>
  </property>
</Properties>
</file>