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Times New Roman" w:hAnsi="Times New Roman"/>
          <w:highlight w:val="none"/>
          <w:lang w:val="en-US" w:eastAsia="zh-CN"/>
        </w:rPr>
      </w:pPr>
      <w:bookmarkStart w:id="0" w:name="_Toc15381"/>
      <w:r>
        <w:rPr>
          <w:rFonts w:hint="eastAsia" w:ascii="Times New Roman" w:hAnsi="Times New Roman"/>
          <w:highlight w:val="none"/>
          <w:lang w:val="en-US" w:eastAsia="zh-CN"/>
        </w:rPr>
        <w:t>阳光商城采购流程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</w:rPr>
        <w:t>超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市直购采购流程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采购范围：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采购项目预算金额为30万元以下的</w:t>
      </w:r>
      <w:r>
        <w:rPr>
          <w:rFonts w:hint="eastAsia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采购人可在网上商城进行超市直购。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编报计划。预算单位按政府采购方式采购网上商城商品的，通过预算一体化系统，编制采购计划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预算单位按非政府采购方式采购网上商城商品的，可直接登录网上商城自建计划单实施采购。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下单产品。登录网上商城，采购人可根据需要选定商品，录入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采购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信息，向供应商直购下单。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供应商接单。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备案合同。供应商接单后，采购人生成超市采购合同，并与供应商签订盖章后生效。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验收评价。供应商按合同要求配送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产品，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采购人及时组织验收工作，核实产品内容，对供应商履约情况进行评价。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Times New Roman" w:hAnsi="Times New Roman"/>
          <w:b/>
          <w:color w:val="auto"/>
          <w:sz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超市竞价采购流程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编报计划。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确定采购需求。采购人登录网上商城，进入后台管理，在超市竞价项目管理界面，新增竞价项目，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根据竞价需求模板设置的要求，通过选配商品参数，筛选确定参与竞价的品牌及商品范围。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发布竞价公告。采购人确定采购需求后，网上商城平台自动发布竞价公告。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供应商报价。供应商根据竞价公告要求，在满足竞价需求的前提下，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规定时间内报价。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成交结果确认。报价时间截止后，供应商按照报价由低到高排序，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备案合同。采购人按照商城内置合同模板，生成超市采购合同，并与供应商签订盖章后生效。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验收评价。供应商按要求配送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产品，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采购人及时组织验收工作，对供应商履约情况进行评价。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电子反拍流程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采购范围：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网上商城超市采购通用标准商品适用于电子反拍。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计划立项。列入政府采购预算的项目，通过预算一体化系统编制采购计划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未列入政府采购预算的项目，采购人登录网上商城自建计划实施采购。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发布项目。采购人登录网上商城</w:t>
      </w:r>
      <w:r>
        <w:rPr>
          <w:rFonts w:hint="eastAsia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选择商城超市上架任意商品，明确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各种参数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，发布电子反拍公告。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供应商报价。供应商登录网上商城，选择正在反拍的项目，对当前项目进行报价。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确认成交。报价时间截止后，系统自动按照报价由低到高排序，采购人按照顺序确认排名第一的供应商为成交供应商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备案合同。采购人在电子反拍项目列表内，完善合同信息，生成合同文本。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验收评价。供应商按要求配送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产品，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采购人及时组织验收工作，对供应商履约情况进行评价。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b w:val="0"/>
          <w:bCs/>
          <w:color w:val="auto"/>
          <w:highlight w:val="none"/>
        </w:rPr>
      </w:pPr>
    </w:p>
    <w:p>
      <w:pPr>
        <w:ind w:firstLine="640" w:firstLineChars="200"/>
        <w:jc w:val="left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  <w:t>阳光商城采购流程图</w:t>
      </w:r>
    </w:p>
    <w:p>
      <w:pPr>
        <w:ind w:firstLine="640" w:firstLineChars="200"/>
        <w:jc w:val="left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ascii="Times New Roman" w:hAnsi="Times New Roman"/>
          <w:color w:val="auto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131445</wp:posOffset>
            </wp:positionV>
            <wp:extent cx="5076825" cy="4572000"/>
            <wp:effectExtent l="0" t="0" r="9525" b="0"/>
            <wp:wrapNone/>
            <wp:docPr id="7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left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</w:rPr>
        <w:t>超市直购采购</w:t>
      </w:r>
      <w:r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eastAsia="zh-CN"/>
        </w:rPr>
        <w:t>范围：</w:t>
      </w:r>
      <w:r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</w:rPr>
        <w:t>采购项目预算金额为30万元以下的</w:t>
      </w:r>
      <w:r>
        <w:rPr>
          <w:rFonts w:hint="eastAsia" w:cs="仿宋_GB2312"/>
          <w:color w:val="auto"/>
          <w:spacing w:val="-15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</w:rPr>
        <w:t>采购人可在网上商城进行超市直购。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</w:rPr>
        <w:t>网上商城超市采购通用标准商品适用于电子反拍。低于本级超市直购限额标准的项目，采购人可以使用超市直购，也可以使用超市竞价或电子反拍；超过本级超市直购限额标准的项目，采购人可以使用超市竞价或电子反拍。</w:t>
      </w:r>
      <w:r>
        <w:rPr>
          <w:rFonts w:hint="eastAsia" w:ascii="Times New Roman" w:hAnsi="Times New Roman" w:eastAsia="仿宋_GB2312" w:cs="仿宋_GB2312"/>
          <w:color w:val="auto"/>
          <w:spacing w:val="-15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1089660</wp:posOffset>
                </wp:positionV>
                <wp:extent cx="635" cy="635"/>
                <wp:effectExtent l="0" t="0" r="0" b="0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35pt;margin-top:85.8pt;height:0.05pt;width:0.05pt;z-index:251659264;mso-width-relative:page;mso-height-relative:page;" filled="f" stroked="t" coordsize="21600,21600" o:gfxdata="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wRN61gAAAAsBAAAPAAAAAAAAAAEAIAAAACIAAABkcnMvZG93bnJldi54bWxQSwEC&#10;FAAUAAAACACHTuJAAiQMEPYBAAD0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2ZhZGRlNzZjNjg4ZjdjMDY2YjQ1MmFiYTI2YjEifQ=="/>
  </w:docVars>
  <w:rsids>
    <w:rsidRoot w:val="00000000"/>
    <w:rsid w:val="0DC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ind w:left="120" w:firstLine="600"/>
      <w:jc w:val="both"/>
    </w:pPr>
    <w:rPr>
      <w:rFonts w:ascii="宋体" w:hAnsi="宋体" w:eastAsia="宋体" w:cs="宋体"/>
      <w:kern w:val="2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2023-03-29T03:23:21Z</dcterms:created>
  <dc:creator>jyzx11</dc:creator>
  <cp:lastModifiedBy>jyzx11</cp:lastModifiedBy>
  <dcterms:modified xsi:type="dcterms:W3CDTF">2023-03-29T03:23:31Z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B9FDA23AEA984DB2980CDB2A551C0396</vt:lpwstr>
  </property>
</Properties>
</file>