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ascii="Times New Roman" w:hAnsi="Times New Roman"/>
          <w:highlight w:val="none"/>
        </w:rPr>
      </w:pPr>
      <w:bookmarkStart w:id="0" w:name="_Toc13668"/>
      <w:r>
        <w:rPr>
          <w:rFonts w:hint="eastAsia" w:ascii="Times New Roman" w:hAnsi="Times New Roman"/>
          <w:highlight w:val="none"/>
          <w:lang w:val="en-US" w:eastAsia="zh-CN"/>
        </w:rPr>
        <w:t>国企阳光采购进场</w:t>
      </w:r>
      <w:r>
        <w:rPr>
          <w:rFonts w:hint="eastAsia" w:ascii="Times New Roman" w:hAnsi="Times New Roman"/>
          <w:highlight w:val="none"/>
        </w:rPr>
        <w:t>交易工作流程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黑体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color w:val="auto"/>
          <w:highlight w:val="none"/>
        </w:rPr>
      </w:pPr>
      <w:r>
        <w:rPr>
          <w:rFonts w:hint="eastAsia" w:ascii="Times New Roman" w:hAnsi="Times New Roman" w:eastAsia="黑体" w:cs="黑体"/>
          <w:color w:val="auto"/>
          <w:highlight w:val="none"/>
        </w:rPr>
        <w:t xml:space="preserve">1 范围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本部分规定了</w:t>
      </w:r>
      <w:r>
        <w:rPr>
          <w:rFonts w:hint="eastAsia" w:ascii="Times New Roman" w:hAnsi="Times New Roman" w:cs="仿宋_GB2312"/>
          <w:color w:val="auto"/>
          <w:sz w:val="32"/>
          <w:szCs w:val="32"/>
          <w:highlight w:val="none"/>
          <w:lang w:val="en-US" w:eastAsia="zh-CN"/>
        </w:rPr>
        <w:t>公共资源交易中心在国企阳光采购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项目受理、</w:t>
      </w:r>
      <w:r>
        <w:rPr>
          <w:rFonts w:hint="eastAsia" w:ascii="Times New Roman" w:hAnsi="Times New Roman" w:cs="仿宋_GB2312"/>
          <w:color w:val="auto"/>
          <w:sz w:val="32"/>
          <w:szCs w:val="32"/>
          <w:highlight w:val="none"/>
          <w:lang w:val="en-US" w:eastAsia="zh-CN"/>
        </w:rPr>
        <w:t>采购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文件</w:t>
      </w:r>
      <w:r>
        <w:rPr>
          <w:rFonts w:hint="eastAsia" w:ascii="Times New Roman" w:hAnsi="Times New Roman" w:cs="仿宋_GB2312"/>
          <w:color w:val="auto"/>
          <w:sz w:val="32"/>
          <w:szCs w:val="32"/>
          <w:highlight w:val="none"/>
          <w:lang w:val="en-US" w:eastAsia="zh-CN"/>
        </w:rPr>
        <w:t>发布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、评审专家抽取、开标、评审、结果公告发布、保证金退还、资料移交及归档</w:t>
      </w:r>
      <w:r>
        <w:rPr>
          <w:rFonts w:hint="eastAsia" w:ascii="Times New Roman" w:hAnsi="Times New Roman" w:cs="仿宋_GB2312"/>
          <w:color w:val="auto"/>
          <w:sz w:val="32"/>
          <w:szCs w:val="32"/>
          <w:highlight w:val="none"/>
          <w:lang w:val="en-US" w:eastAsia="zh-CN"/>
        </w:rPr>
        <w:t>工作中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的</w:t>
      </w:r>
      <w:r>
        <w:rPr>
          <w:rFonts w:hint="eastAsia" w:ascii="Times New Roman" w:hAnsi="Times New Roman" w:cs="仿宋_GB2312"/>
          <w:color w:val="auto"/>
          <w:sz w:val="32"/>
          <w:szCs w:val="32"/>
          <w:highlight w:val="none"/>
          <w:lang w:val="en-US" w:eastAsia="zh-CN"/>
        </w:rPr>
        <w:t>服务流程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黑体"/>
          <w:color w:val="auto"/>
          <w:highlight w:val="none"/>
        </w:rPr>
      </w:pPr>
      <w:r>
        <w:rPr>
          <w:rFonts w:hint="eastAsia" w:ascii="Times New Roman" w:hAnsi="Times New Roman" w:eastAsia="黑体" w:cs="黑体"/>
          <w:color w:val="auto"/>
          <w:highlight w:val="none"/>
          <w:lang w:val="en-US" w:eastAsia="zh-CN"/>
        </w:rPr>
        <w:t>2</w:t>
      </w:r>
      <w:r>
        <w:rPr>
          <w:rFonts w:hint="eastAsia" w:ascii="Times New Roman" w:hAnsi="Times New Roman" w:eastAsia="黑体" w:cs="黑体"/>
          <w:color w:val="auto"/>
          <w:highlight w:val="none"/>
        </w:rPr>
        <w:t xml:space="preserve"> </w:t>
      </w:r>
      <w:r>
        <w:rPr>
          <w:rFonts w:hint="eastAsia" w:ascii="Times New Roman" w:hAnsi="Times New Roman" w:eastAsia="黑体" w:cs="黑体"/>
          <w:color w:val="auto"/>
          <w:highlight w:val="none"/>
          <w:lang w:val="en-US" w:eastAsia="zh-CN"/>
        </w:rPr>
        <w:t>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6" w:firstLineChars="200"/>
        <w:jc w:val="left"/>
        <w:textAlignment w:val="auto"/>
        <w:rPr>
          <w:rFonts w:hint="eastAsia" w:ascii="Times New Roman" w:hAnsi="Times New Roman" w:eastAsia="仿宋_GB2312" w:cs="仿宋_GB2312"/>
          <w:bCs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2.1 法定依据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6" w:firstLineChars="200"/>
        <w:jc w:val="left"/>
        <w:textAlignment w:val="auto"/>
        <w:rPr>
          <w:rFonts w:hint="eastAsia" w:ascii="Times New Roman" w:hAnsi="Times New Roman" w:eastAsia="仿宋_GB2312" w:cs="宋体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宋体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《中华人民共和国招标投标法》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6" w:firstLineChars="200"/>
        <w:jc w:val="left"/>
        <w:textAlignment w:val="auto"/>
        <w:rPr>
          <w:rFonts w:hint="eastAsia" w:ascii="Times New Roman" w:hAnsi="Times New Roman" w:eastAsia="仿宋_GB2312" w:cs="宋体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宋体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《山东省省属企业阳光采购监督暂行办法》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6" w:firstLineChars="200"/>
        <w:jc w:val="left"/>
        <w:textAlignment w:val="auto"/>
        <w:rPr>
          <w:rFonts w:hint="eastAsia" w:ascii="Times New Roman" w:hAnsi="Times New Roman" w:eastAsia="仿宋_GB2312" w:cs="宋体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宋体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《国有企业采购操作规范》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6" w:firstLineChars="200"/>
        <w:jc w:val="left"/>
        <w:textAlignment w:val="auto"/>
        <w:rPr>
          <w:rFonts w:hint="eastAsia" w:ascii="Times New Roman" w:hAnsi="Times New Roman" w:eastAsia="仿宋_GB2312" w:cs="宋体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cs="宋体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《</w:t>
      </w:r>
      <w:r>
        <w:rPr>
          <w:rFonts w:hint="eastAsia" w:ascii="Times New Roman" w:hAnsi="Times New Roman" w:eastAsia="仿宋_GB2312" w:cs="宋体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国有企业采购管理规范》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6" w:firstLineChars="200"/>
        <w:jc w:val="left"/>
        <w:textAlignment w:val="auto"/>
        <w:rPr>
          <w:rFonts w:hint="eastAsia" w:ascii="Times New Roman" w:hAnsi="Times New Roman" w:eastAsia="仿宋_GB2312" w:cs="宋体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宋体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《威海市市属国有企业阳光采购监督管理暂行办法》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6" w:firstLineChars="200"/>
        <w:jc w:val="left"/>
        <w:textAlignment w:val="auto"/>
        <w:rPr>
          <w:rFonts w:hint="eastAsia" w:ascii="Times New Roman" w:hAnsi="Times New Roman" w:eastAsia="仿宋_GB2312" w:cs="宋体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宋体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《山东省深化公共资源交易平台整合共享实施方案》（鲁政办字〔2019〕209号）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6" w:firstLineChars="200"/>
        <w:jc w:val="left"/>
        <w:textAlignment w:val="auto"/>
        <w:rPr>
          <w:rFonts w:hint="eastAsia" w:ascii="Times New Roman" w:hAnsi="Times New Roman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2.2 依据内容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6" w:firstLineChars="200"/>
        <w:jc w:val="left"/>
        <w:textAlignment w:val="auto"/>
        <w:rPr>
          <w:rFonts w:ascii="Times New Roman" w:hAnsi="Times New Roman" w:eastAsia="仿宋_GB2312" w:cs="宋体"/>
          <w:color w:val="auto"/>
          <w:spacing w:val="-6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宋体"/>
          <w:color w:val="auto"/>
          <w:spacing w:val="-6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工程建设项目招标投标、政府采购、土地使用权和矿业权出让转让、国有产权交易等公共资源交易项目，以及其他涉及公共利益、公众安全的具有公有性、公益性的资源交易活动</w:t>
      </w:r>
      <w:r>
        <w:rPr>
          <w:rFonts w:hint="eastAsia" w:ascii="Times New Roman" w:hAnsi="Times New Roman" w:cs="宋体"/>
          <w:color w:val="auto"/>
          <w:spacing w:val="-6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，</w:t>
      </w:r>
      <w:r>
        <w:rPr>
          <w:rFonts w:hint="eastAsia" w:ascii="Times New Roman" w:hAnsi="Times New Roman" w:eastAsia="仿宋_GB2312" w:cs="宋体"/>
          <w:color w:val="auto"/>
          <w:spacing w:val="-6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必须在公共资源交易平台进行公开交易。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黑体"/>
          <w:color w:val="auto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highlight w:val="none"/>
          <w:lang w:val="en-US" w:eastAsia="zh-CN"/>
        </w:rPr>
        <w:t>3 承办科室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6" w:firstLineChars="200"/>
        <w:jc w:val="left"/>
        <w:textAlignment w:val="auto"/>
        <w:rPr>
          <w:rFonts w:hint="eastAsia" w:ascii="Times New Roman" w:hAnsi="Times New Roman" w:cs="Times New Roman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威海市公共资源交易中心乳山分中心业务科室。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Times New Roman" w:hAnsi="Times New Roman" w:cs="Times New Roman"/>
          <w:color w:val="auto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  <w:u w:val="none"/>
        </w:rPr>
        <w:t>办公地址：</w:t>
      </w:r>
      <w:r>
        <w:rPr>
          <w:rFonts w:hint="eastAsia" w:ascii="Times New Roman" w:hAnsi="Times New Roman" w:cs="Times New Roman"/>
          <w:color w:val="auto"/>
          <w:szCs w:val="32"/>
          <w:highlight w:val="none"/>
          <w:u w:val="none"/>
          <w:lang w:val="en-US" w:eastAsia="zh-CN"/>
        </w:rPr>
        <w:t>深圳路108号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  <w:u w:val="none"/>
        </w:rPr>
        <w:t>市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>行政服务中心3楼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6" w:firstLineChars="200"/>
        <w:jc w:val="left"/>
        <w:textAlignment w:val="auto"/>
        <w:rPr>
          <w:rFonts w:hint="eastAsia" w:ascii="Times New Roman" w:hAnsi="Times New Roman" w:cs="Times New Roman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cs="Times New Roman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联系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电话：0631-6875016</w:t>
      </w:r>
      <w:r>
        <w:rPr>
          <w:rFonts w:hint="eastAsia" w:ascii="Times New Roman" w:hAnsi="Times New Roman" w:cs="Times New Roman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>邮</w:t>
      </w: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箱：</w:t>
      </w:r>
      <w:r>
        <w:rPr>
          <w:rFonts w:ascii="Times New Roman" w:hAnsi="Times New Roman" w:eastAsia="仿宋_GB2312" w:cs="Times New Roman"/>
          <w:color w:val="auto"/>
          <w:highlight w:val="none"/>
          <w:u w:val="none"/>
        </w:rPr>
        <w:fldChar w:fldCharType="begin"/>
      </w:r>
      <w:r>
        <w:rPr>
          <w:rFonts w:ascii="Times New Roman" w:hAnsi="Times New Roman" w:eastAsia="仿宋_GB2312" w:cs="Times New Roman"/>
          <w:color w:val="auto"/>
          <w:highlight w:val="none"/>
          <w:u w:val="none"/>
        </w:rPr>
        <w:instrText xml:space="preserve"> HYPERLINK "mailto:ggzyjgk@163.com)。" </w:instrText>
      </w:r>
      <w:r>
        <w:rPr>
          <w:rFonts w:ascii="Times New Roman" w:hAnsi="Times New Roman" w:eastAsia="仿宋_GB2312" w:cs="Times New Roman"/>
          <w:color w:val="auto"/>
          <w:highlight w:val="none"/>
          <w:u w:val="none"/>
        </w:rPr>
        <w:fldChar w:fldCharType="separate"/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  <w:u w:val="none"/>
        </w:rPr>
        <w:t>rushanjyzxgck@wh.shandong.cn。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黑体"/>
          <w:color w:val="auto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highlight w:val="none"/>
          <w:lang w:val="en-US" w:eastAsia="zh-CN"/>
        </w:rPr>
        <w:t>4 服务流程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6" w:firstLineChars="200"/>
        <w:jc w:val="left"/>
        <w:textAlignment w:val="auto"/>
        <w:rPr>
          <w:rFonts w:hint="eastAsia" w:ascii="Times New Roman" w:hAnsi="Times New Roman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4.1 进场项目受理。采购单位提交项目资料后，登记窗口及时受理，并做好场地安排。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6" w:firstLineChars="200"/>
        <w:jc w:val="left"/>
        <w:textAlignment w:val="auto"/>
        <w:rPr>
          <w:rFonts w:hint="eastAsia" w:ascii="Times New Roman" w:hAnsi="Times New Roman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4.2 采购</w:t>
      </w:r>
      <w:r>
        <w:rPr>
          <w:rFonts w:hint="eastAsia" w:ascii="Times New Roman" w:hAnsi="Times New Roman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文件编制</w:t>
      </w:r>
      <w:r>
        <w:rPr>
          <w:rFonts w:hint="eastAsia" w:ascii="Times New Roman" w:hAnsi="Times New Roman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Times New Roman" w:hAnsi="Times New Roman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代理</w:t>
      </w:r>
      <w:r>
        <w:rPr>
          <w:rFonts w:hint="eastAsia" w:ascii="Times New Roman" w:hAnsi="Times New Roman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机构协助采购单位</w:t>
      </w:r>
      <w:r>
        <w:rPr>
          <w:rFonts w:hint="eastAsia" w:ascii="Times New Roman" w:hAnsi="Times New Roman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编制需求公示、</w:t>
      </w:r>
      <w:r>
        <w:rPr>
          <w:rFonts w:hint="eastAsia" w:ascii="Times New Roman" w:hAnsi="Times New Roman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采购</w:t>
      </w:r>
      <w:r>
        <w:rPr>
          <w:rFonts w:hint="eastAsia" w:ascii="Times New Roman" w:hAnsi="Times New Roman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公告和</w:t>
      </w:r>
      <w:r>
        <w:rPr>
          <w:rFonts w:hint="eastAsia" w:ascii="Times New Roman" w:hAnsi="Times New Roman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采购</w:t>
      </w:r>
      <w:r>
        <w:rPr>
          <w:rFonts w:hint="eastAsia" w:ascii="Times New Roman" w:hAnsi="Times New Roman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文件。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6" w:firstLineChars="200"/>
        <w:jc w:val="left"/>
        <w:textAlignment w:val="auto"/>
        <w:rPr>
          <w:rFonts w:hint="eastAsia" w:ascii="Times New Roman" w:hAnsi="Times New Roman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4.3 采购文件发布。代理机构协助</w:t>
      </w:r>
      <w:r>
        <w:rPr>
          <w:rFonts w:hint="eastAsia" w:ascii="Times New Roman" w:hAnsi="Times New Roman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采购单位</w:t>
      </w:r>
      <w:r>
        <w:rPr>
          <w:rFonts w:hint="eastAsia" w:ascii="Times New Roman" w:hAnsi="Times New Roman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将采购文件上传至威海市国有企业阳光采购电子化服务平台。</w:t>
      </w:r>
      <w:r>
        <w:rPr>
          <w:rFonts w:hint="eastAsia" w:ascii="Times New Roman" w:hAnsi="Times New Roman" w:cs="Times New Roman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业务科室对采购文件完整性等审核</w:t>
      </w:r>
      <w:r>
        <w:rPr>
          <w:rFonts w:hint="eastAsia" w:ascii="Times New Roman" w:hAnsi="Times New Roman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同意</w:t>
      </w:r>
      <w:r>
        <w:rPr>
          <w:rFonts w:hint="eastAsia" w:ascii="Times New Roman" w:hAnsi="Times New Roman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后发送至</w:t>
      </w:r>
      <w:r>
        <w:rPr>
          <w:rFonts w:hint="eastAsia" w:ascii="Times New Roman" w:hAnsi="Times New Roman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“威海市公共资源交易平台（乳山市）”，</w:t>
      </w:r>
      <w:r>
        <w:rPr>
          <w:rFonts w:hint="eastAsia" w:ascii="Times New Roman" w:hAnsi="Times New Roman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同步推送至相关网站。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16" w:firstLineChars="200"/>
        <w:jc w:val="both"/>
        <w:textAlignment w:val="auto"/>
        <w:rPr>
          <w:rFonts w:hint="default" w:ascii="Times New Roman" w:hAnsi="Times New Roman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4.4 收取保证金。供应商自主选择交纳形式，由威海公共资源交易服务有限公司代收。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Times New Roman" w:hAnsi="Times New Roman" w:eastAsia="仿宋_GB2312" w:cs="Times New Roman"/>
          <w:color w:val="auto"/>
          <w:szCs w:val="32"/>
          <w:highlight w:val="none"/>
          <w:lang w:val="en-US"/>
        </w:rPr>
      </w:pPr>
      <w:r>
        <w:rPr>
          <w:rFonts w:hint="eastAsia" w:ascii="Times New Roman" w:hAnsi="Times New Roman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4.5 抽取</w:t>
      </w:r>
      <w:r>
        <w:rPr>
          <w:rFonts w:hint="eastAsia" w:ascii="Times New Roman" w:hAnsi="Times New Roman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评审专家</w:t>
      </w:r>
      <w:r>
        <w:rPr>
          <w:rFonts w:hint="eastAsia" w:ascii="Times New Roman" w:hAnsi="Times New Roman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。在规定时间内</w:t>
      </w:r>
      <w:r>
        <w:rPr>
          <w:rFonts w:hint="eastAsia" w:ascii="Times New Roman" w:hAnsi="Times New Roman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，采购单位和代理</w:t>
      </w:r>
      <w:r>
        <w:rPr>
          <w:rFonts w:hint="eastAsia" w:ascii="Times New Roman" w:hAnsi="Times New Roman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机构持《项目评审专家需求表》</w:t>
      </w:r>
      <w:r>
        <w:rPr>
          <w:rFonts w:hint="eastAsia" w:ascii="Times New Roman" w:hAnsi="Times New Roman" w:eastAsia="仿宋_GB2312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共同到交易中心，通过评审专家抽取系统随机抽取项目评审所需的评审专家。</w:t>
      </w:r>
      <w:r>
        <w:rPr>
          <w:rFonts w:hint="eastAsia" w:ascii="Times New Roman" w:hAnsi="Times New Roman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业务科室负责见证。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Cs w:val="32"/>
          <w:highlight w:val="none"/>
        </w:rPr>
      </w:pP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4.6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>开标。</w:t>
      </w:r>
      <w:r>
        <w:rPr>
          <w:rFonts w:hint="eastAsia" w:ascii="Times New Roman" w:hAnsi="Times New Roman" w:cs="Times New Roman"/>
          <w:color w:val="auto"/>
          <w:szCs w:val="32"/>
          <w:highlight w:val="none"/>
          <w:lang w:eastAsia="zh-CN"/>
        </w:rPr>
        <w:t>代理机构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>根据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  <w:lang w:val="en-US" w:eastAsia="zh-CN"/>
        </w:rPr>
        <w:t>招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>标文件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  <w:lang w:val="en-US" w:eastAsia="zh-CN"/>
        </w:rPr>
        <w:t>约定按时组织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>开标会。</w:t>
      </w: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鼓励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>采用不见面开标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  <w:lang w:val="en-US" w:eastAsia="zh-CN"/>
        </w:rPr>
        <w:t>方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>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Cs w:val="32"/>
          <w:highlight w:val="none"/>
          <w:lang w:eastAsia="zh-CN"/>
        </w:rPr>
      </w:pP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>.</w:t>
      </w: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6.1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 xml:space="preserve"> 开标准备</w:t>
      </w:r>
      <w:r>
        <w:rPr>
          <w:rFonts w:hint="eastAsia" w:ascii="Times New Roman" w:hAnsi="Times New Roman" w:cs="Times New Roman"/>
          <w:color w:val="auto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</w:pP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>.</w:t>
      </w: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6.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>1</w:t>
      </w: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.1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 xml:space="preserve"> 检查监控设备</w:t>
      </w: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和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>开标室的电脑、</w:t>
      </w: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投影仪、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>打印机等电子设备。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</w:pP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>.</w:t>
      </w: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6.1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>.</w:t>
      </w: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 xml:space="preserve"> </w:t>
      </w: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协助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>指导代理机构登录</w:t>
      </w: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电子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>交易</w:t>
      </w: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系统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>进行开标。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>.</w:t>
      </w: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6.2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 xml:space="preserve"> </w:t>
      </w: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见证开标过程。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>.</w:t>
      </w: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6.2.1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 xml:space="preserve"> </w:t>
      </w: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对招标代理机构查验投标代理人身份和</w:t>
      </w:r>
      <w:r>
        <w:rPr>
          <w:rFonts w:hint="eastAsia" w:ascii="Times New Roman" w:hAnsi="Times New Roman"/>
          <w:color w:val="auto"/>
          <w:highlight w:val="none"/>
        </w:rPr>
        <w:t>接收、检查投标文件</w:t>
      </w:r>
      <w:r>
        <w:rPr>
          <w:rFonts w:hint="eastAsia" w:ascii="Times New Roman" w:hAnsi="Times New Roman"/>
          <w:color w:val="auto"/>
          <w:highlight w:val="none"/>
          <w:lang w:eastAsia="zh-CN"/>
        </w:rPr>
        <w:t>、</w:t>
      </w:r>
      <w:r>
        <w:rPr>
          <w:rFonts w:hint="eastAsia" w:ascii="Times New Roman" w:hAnsi="Times New Roman"/>
          <w:color w:val="auto"/>
          <w:highlight w:val="none"/>
          <w:lang w:val="en-US" w:eastAsia="zh-CN"/>
        </w:rPr>
        <w:t>唱标情况进行现场见证。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Cs w:val="32"/>
          <w:highlight w:val="none"/>
        </w:rPr>
      </w:pP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>.</w:t>
      </w: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 xml:space="preserve"> 评标。开标会议结束后</w:t>
      </w:r>
      <w:r>
        <w:rPr>
          <w:rFonts w:hint="eastAsia" w:ascii="Times New Roman" w:hAnsi="Times New Roman" w:cs="Times New Roman"/>
          <w:color w:val="auto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组织代理机构协助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>评审专家进行评审。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4.7.1 评标准备。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 xml:space="preserve">4.7.1.1 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>检查监控设备</w:t>
      </w: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和评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>标室的电脑、打印机等电子设备</w:t>
      </w: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，指导协助代理机构提前开启电子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>交易</w:t>
      </w: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系统。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4.7.1.2 见证代理机构打印评审专家抽取结果，借助云签系统核实评审专家身份，引导专家做好手机等通讯工具存放工作，并将其引领至评审室。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Cs w:val="32"/>
          <w:highlight w:val="none"/>
        </w:rPr>
      </w:pP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4.7.2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 xml:space="preserve"> </w:t>
      </w: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见证评标过程，发现异常情况及时处理，并做好相关记录。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4.8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 xml:space="preserve"> </w:t>
      </w: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定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>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color w:val="auto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4.8.1 代理机构将评审结果上传至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>电子交易系统</w:t>
      </w: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4.8.2 业务科室查验通过后，通过公共资源交易平台等向社会公示，公示期1个工作日。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黑体" w:cs="黑体"/>
          <w:color w:val="auto"/>
          <w:kern w:val="2"/>
          <w:sz w:val="32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黑体" w:cs="黑体"/>
          <w:color w:val="auto"/>
          <w:kern w:val="2"/>
          <w:sz w:val="32"/>
          <w:szCs w:val="24"/>
          <w:highlight w:val="none"/>
          <w:lang w:val="en-US" w:eastAsia="zh-CN" w:bidi="ar-SA"/>
        </w:rPr>
        <w:t>5 退付保证金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cs="Times New Roman"/>
          <w:color w:val="auto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由威海公共资源交易服务有</w:t>
      </w:r>
      <w:r>
        <w:rPr>
          <w:rFonts w:hint="eastAsia" w:ascii="Times New Roman" w:hAnsi="Times New Roman" w:cs="仿宋_GB2312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限公司进行保证金退付工作。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黑体"/>
          <w:color w:val="auto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highlight w:val="none"/>
          <w:lang w:val="en-US" w:eastAsia="zh-CN"/>
        </w:rPr>
        <w:t>6 资料归档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 xml:space="preserve">6.1 </w:t>
      </w:r>
      <w:r>
        <w:rPr>
          <w:rFonts w:hint="eastAsia" w:ascii="Times New Roman" w:hAnsi="Times New Roman" w:cs="Times New Roman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业务科室</w:t>
      </w: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对代理机构移交的项目资料的完整性进行查验后，移送档案室统一管理。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 xml:space="preserve">6.2 </w:t>
      </w:r>
      <w:r>
        <w:rPr>
          <w:rFonts w:hint="eastAsia" w:ascii="Times New Roman" w:hAnsi="Times New Roman" w:cs="Times New Roman"/>
          <w:color w:val="auto"/>
          <w:spacing w:val="-6"/>
          <w:kern w:val="0"/>
          <w:sz w:val="32"/>
          <w:szCs w:val="32"/>
          <w:highlight w:val="none"/>
          <w:lang w:val="en-US" w:eastAsia="zh-CN" w:bidi="ar-SA"/>
        </w:rPr>
        <w:t>业务科室对项目服务见证过程中形成的资料整理归档。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6.3 按照档案管理规定，为公共资源交易综合管理、行政监督、监察审计等部门提供档案查询服务。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黑体"/>
          <w:color w:val="auto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highlight w:val="none"/>
          <w:lang w:val="en-US" w:eastAsia="zh-CN"/>
        </w:rPr>
        <w:t>7</w:t>
      </w:r>
      <w:r>
        <w:rPr>
          <w:rFonts w:hint="eastAsia" w:ascii="Times New Roman" w:hAnsi="Times New Roman" w:eastAsia="黑体" w:cs="黑体"/>
          <w:color w:val="auto"/>
          <w:highlight w:val="none"/>
        </w:rPr>
        <w:t xml:space="preserve"> </w:t>
      </w:r>
      <w:r>
        <w:rPr>
          <w:rFonts w:hint="eastAsia" w:ascii="Times New Roman" w:hAnsi="Times New Roman" w:eastAsia="黑体" w:cs="黑体"/>
          <w:color w:val="auto"/>
          <w:highlight w:val="none"/>
          <w:lang w:val="en-US" w:eastAsia="zh-CN"/>
        </w:rPr>
        <w:t>考核评价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trike/>
          <w:dstrike w:val="0"/>
          <w:color w:val="auto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项目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>工作基本结束后，</w:t>
      </w: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采购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>单位、交易中心和监督部门分别对</w:t>
      </w: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采购</w:t>
      </w:r>
      <w:r>
        <w:rPr>
          <w:rFonts w:hint="eastAsia" w:ascii="Times New Roman" w:hAnsi="Times New Roman" w:cs="Times New Roman"/>
          <w:color w:val="auto"/>
          <w:szCs w:val="32"/>
          <w:highlight w:val="none"/>
          <w:lang w:eastAsia="zh-CN"/>
        </w:rPr>
        <w:t>代理机构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>的服务情况进行</w:t>
      </w:r>
      <w:r>
        <w:rPr>
          <w:rFonts w:hint="eastAsia" w:ascii="Times New Roman" w:hAnsi="Times New Roman" w:cs="Times New Roman"/>
          <w:color w:val="auto"/>
          <w:szCs w:val="32"/>
          <w:highlight w:val="none"/>
          <w:lang w:val="en-US" w:eastAsia="zh-CN"/>
        </w:rPr>
        <w:t>评价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pStyle w:val="2"/>
        <w:rPr>
          <w:rFonts w:ascii="Times New Roman" w:hAnsi="Times New Roman"/>
          <w:strike/>
          <w:dstrike w:val="0"/>
          <w:color w:val="auto"/>
          <w:highlight w:val="none"/>
        </w:rPr>
      </w:pPr>
    </w:p>
    <w:p/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  <w:r>
        <w:rPr>
          <w:rFonts w:ascii="Times New Roman" w:hAnsi="Times New Roman"/>
          <w:color w:val="auto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17145</wp:posOffset>
            </wp:positionV>
            <wp:extent cx="5155565" cy="7919720"/>
            <wp:effectExtent l="0" t="0" r="6985" b="5080"/>
            <wp:wrapNone/>
            <wp:docPr id="2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5565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rPr>
          <w:rFonts w:ascii="Times New Roman" w:hAnsi="Times New Roman"/>
          <w:strike/>
          <w:dstrike w:val="0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  <w:highlight w:val="none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N2ZhZGRlNzZjNjg4ZjdjMDY2YjQ1MmFiYTI2YjEifQ=="/>
  </w:docVars>
  <w:rsids>
    <w:rsidRoot w:val="00000000"/>
    <w:rsid w:val="32C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2023-03-29T03:22:00Z</dcterms:created>
  <dc:creator>jyzx11</dc:creator>
  <cp:lastModifiedBy>jyzx11</cp:lastModifiedBy>
  <dcterms:modified xsi:type="dcterms:W3CDTF">2023-03-29T03:22:17Z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649BED0C835E40CB93738DCDD625AABA</vt:lpwstr>
  </property>
</Properties>
</file>